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2B8D">
      <w:pPr>
        <w:widowControl/>
        <w:spacing w:line="276" w:lineRule="auto"/>
        <w:jc w:val="center"/>
        <w:rPr>
          <w:rFonts w:hint="eastAsia" w:ascii="宋体" w:hAnsi="宋体" w:eastAsia="宋体" w:cs="宋体"/>
          <w:b/>
          <w:sz w:val="72"/>
          <w:szCs w:val="72"/>
        </w:rPr>
      </w:pPr>
    </w:p>
    <w:p w14:paraId="7E658680">
      <w:pPr>
        <w:pStyle w:val="29"/>
        <w:rPr>
          <w:rFonts w:hint="eastAsia"/>
        </w:rPr>
      </w:pPr>
    </w:p>
    <w:p w14:paraId="17E5EB3E">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p>
    <w:p w14:paraId="6A7E5E0C">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强化耐腐蚀PVC采购</w:t>
      </w:r>
    </w:p>
    <w:p w14:paraId="0CEAD8DD">
      <w:pPr>
        <w:widowControl/>
        <w:spacing w:line="276" w:lineRule="auto"/>
        <w:jc w:val="center"/>
        <w:rPr>
          <w:rFonts w:hint="eastAsia" w:ascii="宋体" w:hAnsi="宋体" w:eastAsia="宋体" w:cs="宋体"/>
          <w:b/>
          <w:sz w:val="72"/>
          <w:szCs w:val="72"/>
        </w:rPr>
      </w:pPr>
    </w:p>
    <w:p w14:paraId="288E5C58">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78796F70">
      <w:pPr>
        <w:pStyle w:val="76"/>
        <w:spacing w:line="360" w:lineRule="auto"/>
        <w:rPr>
          <w:rFonts w:hint="eastAsia" w:hAnsi="宋体" w:eastAsia="宋体" w:cs="宋体"/>
        </w:rPr>
      </w:pPr>
    </w:p>
    <w:p w14:paraId="65B502DD">
      <w:pPr>
        <w:pStyle w:val="76"/>
        <w:spacing w:line="360" w:lineRule="auto"/>
        <w:rPr>
          <w:rFonts w:hint="eastAsia" w:hAnsi="宋体" w:eastAsia="宋体" w:cs="宋体"/>
        </w:rPr>
      </w:pPr>
    </w:p>
    <w:p w14:paraId="6C3BB6C4">
      <w:pPr>
        <w:pStyle w:val="76"/>
        <w:spacing w:line="360" w:lineRule="auto"/>
        <w:rPr>
          <w:rFonts w:hint="eastAsia" w:hAnsi="宋体" w:eastAsia="宋体" w:cs="宋体"/>
        </w:rPr>
      </w:pPr>
    </w:p>
    <w:p w14:paraId="49DF7F47">
      <w:pPr>
        <w:pStyle w:val="76"/>
        <w:spacing w:line="360" w:lineRule="auto"/>
        <w:rPr>
          <w:rFonts w:hint="eastAsia" w:hAnsi="宋体" w:eastAsia="宋体" w:cs="宋体"/>
        </w:rPr>
      </w:pPr>
    </w:p>
    <w:p w14:paraId="1E22AD39">
      <w:pPr>
        <w:widowControl/>
        <w:rPr>
          <w:rFonts w:hint="eastAsia" w:ascii="宋体" w:hAnsi="宋体" w:eastAsia="宋体" w:cs="宋体"/>
          <w:b/>
          <w:kern w:val="0"/>
          <w:sz w:val="28"/>
        </w:rPr>
      </w:pPr>
    </w:p>
    <w:p w14:paraId="335C22CC">
      <w:pPr>
        <w:widowControl/>
        <w:rPr>
          <w:rFonts w:hint="eastAsia" w:ascii="宋体" w:hAnsi="宋体" w:eastAsia="宋体" w:cs="宋体"/>
          <w:b/>
          <w:kern w:val="0"/>
          <w:sz w:val="28"/>
        </w:rPr>
      </w:pPr>
    </w:p>
    <w:p w14:paraId="70AFC3B3">
      <w:pPr>
        <w:widowControl/>
        <w:rPr>
          <w:rFonts w:hint="eastAsia" w:ascii="宋体" w:hAnsi="宋体" w:eastAsia="宋体" w:cs="宋体"/>
          <w:b/>
          <w:kern w:val="0"/>
          <w:sz w:val="28"/>
        </w:rPr>
      </w:pPr>
    </w:p>
    <w:p w14:paraId="21F390D5">
      <w:pPr>
        <w:widowControl/>
        <w:rPr>
          <w:rFonts w:hint="eastAsia" w:ascii="宋体" w:hAnsi="宋体" w:eastAsia="宋体" w:cs="宋体"/>
          <w:b/>
          <w:kern w:val="0"/>
          <w:sz w:val="28"/>
        </w:rPr>
      </w:pPr>
    </w:p>
    <w:p w14:paraId="1807F6F3">
      <w:pPr>
        <w:widowControl/>
        <w:rPr>
          <w:rFonts w:hint="eastAsia" w:ascii="宋体" w:hAnsi="宋体" w:eastAsia="宋体" w:cs="宋体"/>
          <w:b/>
          <w:kern w:val="0"/>
          <w:sz w:val="28"/>
        </w:rPr>
      </w:pPr>
    </w:p>
    <w:p w14:paraId="04998B44">
      <w:pPr>
        <w:widowControl/>
        <w:rPr>
          <w:rFonts w:hint="eastAsia" w:ascii="宋体" w:hAnsi="宋体" w:eastAsia="宋体" w:cs="宋体"/>
          <w:b/>
          <w:kern w:val="0"/>
          <w:sz w:val="28"/>
        </w:rPr>
      </w:pPr>
    </w:p>
    <w:p w14:paraId="11807205">
      <w:pPr>
        <w:widowControl/>
        <w:rPr>
          <w:rFonts w:hint="eastAsia" w:ascii="宋体" w:hAnsi="宋体" w:eastAsia="宋体" w:cs="宋体"/>
          <w:b/>
          <w:kern w:val="0"/>
          <w:sz w:val="28"/>
        </w:rPr>
      </w:pPr>
    </w:p>
    <w:p w14:paraId="07A2D3C8">
      <w:pPr>
        <w:widowControl/>
        <w:rPr>
          <w:rFonts w:hint="eastAsia" w:ascii="宋体" w:hAnsi="宋体" w:eastAsia="宋体" w:cs="宋体"/>
          <w:b/>
          <w:kern w:val="0"/>
          <w:sz w:val="28"/>
        </w:rPr>
      </w:pPr>
    </w:p>
    <w:p w14:paraId="0CA34859">
      <w:pPr>
        <w:widowControl/>
        <w:rPr>
          <w:rFonts w:hint="eastAsia" w:ascii="宋体" w:hAnsi="宋体" w:eastAsia="宋体" w:cs="宋体"/>
          <w:b/>
          <w:kern w:val="0"/>
          <w:sz w:val="28"/>
        </w:rPr>
      </w:pPr>
    </w:p>
    <w:p w14:paraId="6F1B23A5">
      <w:pPr>
        <w:widowControl/>
        <w:rPr>
          <w:rFonts w:hint="eastAsia" w:ascii="宋体" w:hAnsi="宋体" w:eastAsia="宋体" w:cs="宋体"/>
          <w:b/>
          <w:kern w:val="0"/>
          <w:sz w:val="28"/>
        </w:rPr>
      </w:pPr>
    </w:p>
    <w:p w14:paraId="7F335C4F">
      <w:pPr>
        <w:widowControl/>
        <w:rPr>
          <w:rFonts w:hint="eastAsia" w:ascii="宋体" w:hAnsi="宋体" w:eastAsia="宋体" w:cs="宋体"/>
          <w:b/>
          <w:kern w:val="0"/>
          <w:sz w:val="28"/>
        </w:rPr>
      </w:pPr>
    </w:p>
    <w:p w14:paraId="70694E23">
      <w:pPr>
        <w:widowControl/>
        <w:rPr>
          <w:rFonts w:hint="eastAsia" w:ascii="宋体" w:hAnsi="宋体" w:eastAsia="宋体" w:cs="宋体"/>
          <w:b/>
          <w:kern w:val="0"/>
          <w:sz w:val="28"/>
        </w:rPr>
      </w:pPr>
    </w:p>
    <w:p w14:paraId="12E79645">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597C8ACA">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19E54A4A">
      <w:pPr>
        <w:jc w:val="center"/>
        <w:rPr>
          <w:rFonts w:hint="eastAsia" w:ascii="宋体" w:hAnsi="宋体" w:eastAsia="宋体" w:cs="宋体"/>
        </w:rPr>
      </w:pPr>
      <w:r>
        <w:rPr>
          <w:rFonts w:hint="eastAsia" w:ascii="宋体" w:hAnsi="宋体" w:eastAsia="宋体" w:cs="宋体"/>
          <w:bCs/>
          <w:kern w:val="0"/>
          <w:sz w:val="32"/>
          <w:szCs w:val="21"/>
        </w:rPr>
        <w:t>2025年4月25日</w:t>
      </w:r>
      <w:r>
        <w:rPr>
          <w:rFonts w:hint="eastAsia" w:ascii="宋体" w:hAnsi="宋体" w:eastAsia="宋体" w:cs="宋体"/>
          <w:b/>
          <w:color w:val="000000"/>
          <w:sz w:val="24"/>
          <w:szCs w:val="24"/>
        </w:rPr>
        <w:br w:type="page"/>
      </w:r>
    </w:p>
    <w:p w14:paraId="0C5FC9BC">
      <w:pPr>
        <w:rPr>
          <w:rFonts w:hint="eastAsia" w:ascii="宋体" w:hAnsi="宋体" w:eastAsia="宋体" w:cs="宋体"/>
          <w:b/>
          <w:color w:val="000000"/>
          <w:sz w:val="24"/>
          <w:szCs w:val="24"/>
        </w:rPr>
      </w:pPr>
    </w:p>
    <w:p w14:paraId="51CAE466">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6FA8F23F">
      <w:pPr>
        <w:jc w:val="center"/>
        <w:rPr>
          <w:rFonts w:hint="eastAsia" w:ascii="宋体" w:hAnsi="宋体" w:eastAsia="宋体" w:cs="宋体"/>
          <w:b/>
          <w:color w:val="000000"/>
          <w:sz w:val="24"/>
          <w:szCs w:val="24"/>
        </w:rPr>
      </w:pPr>
    </w:p>
    <w:p w14:paraId="3F6248E2">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92D274">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A0898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C7D9C6">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FA7EE2">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E28AFA">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FA81B9">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4F5512">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7F7C97">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DB79A9">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363199264"/>
      <w:bookmarkStart w:id="1" w:name="_Toc216158623"/>
    </w:p>
    <w:p w14:paraId="4CD702D7">
      <w:pPr>
        <w:spacing w:line="360" w:lineRule="auto"/>
        <w:rPr>
          <w:rFonts w:hint="eastAsia" w:ascii="宋体" w:hAnsi="宋体" w:eastAsia="宋体" w:cs="宋体"/>
          <w:color w:val="000000"/>
          <w:sz w:val="24"/>
          <w:szCs w:val="24"/>
        </w:rPr>
      </w:pPr>
    </w:p>
    <w:p w14:paraId="6F94BFA7">
      <w:pPr>
        <w:spacing w:line="360" w:lineRule="auto"/>
        <w:rPr>
          <w:rFonts w:hint="eastAsia" w:ascii="宋体" w:hAnsi="宋体" w:eastAsia="宋体" w:cs="宋体"/>
          <w:color w:val="000000"/>
          <w:sz w:val="24"/>
          <w:szCs w:val="24"/>
        </w:rPr>
      </w:pPr>
    </w:p>
    <w:p w14:paraId="388969C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0AAC81F7">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1702A5D1">
      <w:pPr>
        <w:spacing w:line="360" w:lineRule="auto"/>
        <w:rPr>
          <w:rFonts w:hint="eastAsia" w:ascii="宋体" w:hAnsi="宋体" w:eastAsia="宋体" w:cs="宋体"/>
          <w:color w:val="000000"/>
          <w:sz w:val="24"/>
          <w:szCs w:val="24"/>
        </w:rPr>
      </w:pPr>
    </w:p>
    <w:p w14:paraId="5BA00888">
      <w:pPr>
        <w:pStyle w:val="88"/>
        <w:widowControl w:val="0"/>
        <w:autoSpaceDE w:val="0"/>
        <w:autoSpaceDN w:val="0"/>
        <w:adjustRightInd w:val="0"/>
        <w:snapToGrid w:val="0"/>
        <w:spacing w:before="0" w:after="0" w:line="360" w:lineRule="auto"/>
        <w:jc w:val="both"/>
        <w:rPr>
          <w:rFonts w:hint="eastAsia" w:ascii="宋体" w:hAnsi="宋体" w:eastAsia="宋体" w:cs="宋体"/>
          <w:szCs w:val="24"/>
          <w:u w:val="none"/>
        </w:rPr>
      </w:pPr>
      <w:bookmarkStart w:id="3" w:name="_Toc15035054"/>
      <w:bookmarkStart w:id="40" w:name="_GoBack"/>
      <w:r>
        <w:rPr>
          <w:rFonts w:hint="eastAsia" w:ascii="宋体" w:hAnsi="宋体" w:eastAsia="宋体" w:cs="宋体"/>
          <w:szCs w:val="24"/>
          <w:u w:val="none"/>
        </w:rPr>
        <w:t>根据采购需求，合肥综合性科学中心环境研究院对</w:t>
      </w:r>
      <w:r>
        <w:rPr>
          <w:rFonts w:hint="eastAsia" w:ascii="宋体" w:hAnsi="宋体" w:eastAsia="宋体" w:cs="宋体"/>
          <w:spacing w:val="-2"/>
          <w:szCs w:val="24"/>
          <w:u w:val="none"/>
        </w:rPr>
        <w:t>“强化耐腐蚀PVC采购”项目</w:t>
      </w:r>
      <w:r>
        <w:rPr>
          <w:rFonts w:hint="eastAsia" w:ascii="宋体" w:hAnsi="宋体" w:eastAsia="宋体" w:cs="宋体"/>
          <w:szCs w:val="24"/>
          <w:u w:val="none"/>
        </w:rPr>
        <w:t>进行询价采购，欢迎具备条件的供应商参加报价。</w:t>
      </w:r>
    </w:p>
    <w:bookmarkEnd w:id="3"/>
    <w:p w14:paraId="25743FCB">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一、项目名称及内容</w:t>
      </w:r>
    </w:p>
    <w:p w14:paraId="77C02848">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1、采购人名称：合肥综合性科学中心环境研究院</w:t>
      </w:r>
    </w:p>
    <w:p w14:paraId="21D654AF">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2、采购人地址：</w:t>
      </w:r>
      <w:r>
        <w:rPr>
          <w:rFonts w:hint="eastAsia" w:ascii="宋体" w:hAnsi="宋体" w:eastAsia="宋体" w:cs="宋体"/>
          <w:sz w:val="24"/>
          <w:szCs w:val="24"/>
          <w:u w:val="none"/>
        </w:rPr>
        <w:t>合肥蜀山经济技术开发区电商园四期E栋</w:t>
      </w:r>
    </w:p>
    <w:p w14:paraId="367B813C">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u w:val="none"/>
        </w:rPr>
      </w:pPr>
      <w:r>
        <w:rPr>
          <w:rFonts w:hint="eastAsia" w:ascii="宋体" w:hAnsi="宋体" w:eastAsia="宋体" w:cs="宋体"/>
          <w:kern w:val="0"/>
          <w:sz w:val="24"/>
          <w:szCs w:val="24"/>
          <w:u w:val="none"/>
        </w:rPr>
        <w:t>3、项目名称：强化耐腐蚀PVC采购</w:t>
      </w:r>
    </w:p>
    <w:p w14:paraId="3B19B576">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4、采购内容：强化耐腐蚀PVC采购，具体详见采购需求。</w:t>
      </w:r>
    </w:p>
    <w:p w14:paraId="64534176">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5、项目地点：合肥蜀山经济技术开发区电商园四期E栋，具体以采购人指定地点为准。</w:t>
      </w:r>
    </w:p>
    <w:p w14:paraId="690344A6">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二、参与方式</w:t>
      </w:r>
    </w:p>
    <w:p w14:paraId="3D6D8D04">
      <w:pPr>
        <w:spacing w:line="360" w:lineRule="auto"/>
        <w:ind w:firstLine="240" w:firstLineChars="100"/>
        <w:jc w:val="left"/>
        <w:rPr>
          <w:rFonts w:hint="eastAsia" w:ascii="宋体" w:hAnsi="宋体" w:eastAsia="宋体" w:cs="宋体"/>
          <w:sz w:val="24"/>
          <w:szCs w:val="24"/>
          <w:u w:val="none"/>
        </w:rPr>
      </w:pPr>
      <w:r>
        <w:rPr>
          <w:rFonts w:hint="eastAsia" w:ascii="宋体" w:hAnsi="宋体" w:eastAsia="宋体" w:cs="宋体"/>
          <w:sz w:val="24"/>
          <w:szCs w:val="24"/>
          <w:u w:val="none"/>
        </w:rPr>
        <w:t>1、采购文件获取：供应商从合肥综合性科学中心环境研究院官网采购专栏（http://www.hfioe.cn/?c=36）自行下载采购文件。</w:t>
      </w:r>
    </w:p>
    <w:p w14:paraId="2EC79DD5">
      <w:pPr>
        <w:pStyle w:val="15"/>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2、</w:t>
      </w:r>
      <w:r>
        <w:rPr>
          <w:rFonts w:hint="eastAsia" w:hAnsi="宋体" w:eastAsia="宋体" w:cs="宋体"/>
          <w:b/>
          <w:bCs/>
          <w:sz w:val="24"/>
          <w:szCs w:val="24"/>
          <w:u w:val="none"/>
        </w:rPr>
        <w:t>响应文件递交截止时间：</w:t>
      </w:r>
      <w:r>
        <w:rPr>
          <w:rFonts w:hint="eastAsia" w:hAnsi="宋体" w:eastAsia="宋体" w:cs="宋体"/>
          <w:sz w:val="24"/>
          <w:szCs w:val="24"/>
          <w:u w:val="none"/>
        </w:rPr>
        <w:t>2025年4月30日15：00（北京时间）</w:t>
      </w:r>
    </w:p>
    <w:p w14:paraId="3AFEC3E1">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3、响应文件递交：</w:t>
      </w:r>
    </w:p>
    <w:p w14:paraId="5AAD5DDC">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递交地点：合肥市蜀山区湖光路电商园四期E栋10楼1003室</w:t>
      </w:r>
    </w:p>
    <w:p w14:paraId="47F6B9EE">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 xml:space="preserve">递交方式：响应人将密封完好的响应文件送达至或邮递至指定地点 </w:t>
      </w:r>
    </w:p>
    <w:p w14:paraId="5F47C6B6">
      <w:pPr>
        <w:pStyle w:val="15"/>
        <w:adjustRightInd w:val="0"/>
        <w:snapToGrid w:val="0"/>
        <w:spacing w:line="360" w:lineRule="auto"/>
        <w:ind w:left="216" w:leftChars="103"/>
        <w:rPr>
          <w:rFonts w:hint="eastAsia" w:hAnsi="宋体" w:eastAsia="宋体" w:cs="宋体"/>
          <w:b/>
          <w:bCs/>
          <w:sz w:val="24"/>
          <w:szCs w:val="24"/>
          <w:u w:val="none"/>
        </w:rPr>
      </w:pPr>
      <w:r>
        <w:rPr>
          <w:rFonts w:hint="eastAsia" w:hAnsi="宋体" w:eastAsia="宋体" w:cs="宋体"/>
          <w:b/>
          <w:sz w:val="24"/>
          <w:szCs w:val="24"/>
          <w:u w:val="none"/>
        </w:rPr>
        <w:t>备注</w:t>
      </w:r>
      <w:r>
        <w:rPr>
          <w:rFonts w:hint="eastAsia" w:hAnsi="宋体" w:eastAsia="宋体" w:cs="宋体"/>
          <w:sz w:val="24"/>
          <w:szCs w:val="24"/>
          <w:u w:val="none"/>
        </w:rPr>
        <w:t>：逾期送达的或未送达指定地点的响应文件，采购人不予接收</w:t>
      </w:r>
    </w:p>
    <w:p w14:paraId="5F9F197E">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三、</w:t>
      </w:r>
      <w:bookmarkStart w:id="4" w:name="_Toc15035055"/>
      <w:r>
        <w:rPr>
          <w:rFonts w:hint="eastAsia" w:ascii="宋体" w:hAnsi="宋体" w:eastAsia="宋体" w:cs="宋体"/>
          <w:b/>
          <w:bCs/>
          <w:sz w:val="24"/>
          <w:szCs w:val="24"/>
          <w:u w:val="none"/>
        </w:rPr>
        <w:t>供应商资格要求</w:t>
      </w:r>
      <w:bookmarkEnd w:id="4"/>
    </w:p>
    <w:p w14:paraId="75A1EDC2">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1.满足《中华人民共和国政府采购法》第二十二条规定；</w:t>
      </w:r>
    </w:p>
    <w:p w14:paraId="602B166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2.本项目的特定资格要求：无；</w:t>
      </w:r>
    </w:p>
    <w:p w14:paraId="700728A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3.单位负责人为同一人或者存在直接控股、管理关系的不同投标人，不得参加同一合同项下的采购活动；</w:t>
      </w:r>
    </w:p>
    <w:p w14:paraId="5DB0B56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4.截至提交投标文件截止时间，投标人（不含其不具有独立法人资格的分支机构）存在下列有效情形之一的，其投标文件按无效处理。</w:t>
      </w:r>
    </w:p>
    <w:p w14:paraId="5F2C7674">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（1）被人民法院列入失信被执行人名单的；</w:t>
      </w:r>
    </w:p>
    <w:p w14:paraId="47C91CE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（2）被税务机关列入重大税收违法案件当事人名单的；</w:t>
      </w:r>
    </w:p>
    <w:p w14:paraId="09669ED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（3）被财政部门列入政府采购严重违法失信名单的；</w:t>
      </w:r>
    </w:p>
    <w:p w14:paraId="40E763A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7E80D6A">
      <w:pPr>
        <w:autoSpaceDE w:val="0"/>
        <w:autoSpaceDN w:val="0"/>
        <w:adjustRightInd w:val="0"/>
        <w:snapToGrid w:val="0"/>
        <w:spacing w:line="360" w:lineRule="auto"/>
        <w:ind w:firstLine="218" w:firstLineChars="91"/>
        <w:outlineLvl w:val="1"/>
        <w:rPr>
          <w:rFonts w:hint="eastAsia" w:ascii="宋体" w:hAnsi="宋体" w:eastAsia="宋体" w:cs="宋体"/>
          <w:sz w:val="24"/>
          <w:szCs w:val="24"/>
          <w:u w:val="none"/>
        </w:rPr>
      </w:pPr>
      <w:r>
        <w:rPr>
          <w:rFonts w:hint="eastAsia" w:ascii="宋体" w:hAnsi="宋体" w:eastAsia="宋体" w:cs="宋体"/>
          <w:bCs/>
          <w:sz w:val="24"/>
          <w:szCs w:val="24"/>
          <w:u w:val="none"/>
        </w:rPr>
        <w:t>5.本项目不接受联合体响应。</w:t>
      </w:r>
    </w:p>
    <w:p w14:paraId="6C575101">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四、联系方式</w:t>
      </w:r>
    </w:p>
    <w:p w14:paraId="6CCB87B9">
      <w:pPr>
        <w:topLinePunct/>
        <w:adjustRightInd w:val="0"/>
        <w:snapToGrid w:val="0"/>
        <w:spacing w:line="360" w:lineRule="auto"/>
        <w:ind w:firstLine="480" w:firstLineChars="200"/>
        <w:rPr>
          <w:rFonts w:hint="eastAsia" w:ascii="宋体" w:hAnsi="宋体" w:eastAsia="宋体" w:cs="宋体"/>
          <w:sz w:val="24"/>
          <w:szCs w:val="24"/>
          <w:highlight w:val="yellow"/>
          <w:u w:val="none"/>
        </w:rPr>
      </w:pPr>
      <w:r>
        <w:rPr>
          <w:rFonts w:hint="eastAsia" w:ascii="宋体" w:hAnsi="宋体" w:eastAsia="宋体" w:cs="宋体"/>
          <w:sz w:val="24"/>
          <w:szCs w:val="24"/>
          <w:u w:val="none"/>
        </w:rPr>
        <w:t>联系人： 熊老师</w:t>
      </w:r>
    </w:p>
    <w:p w14:paraId="5722C7DB">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 17805653127  </w:t>
      </w:r>
    </w:p>
    <w:p w14:paraId="6C59FBF1">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 xml:space="preserve">电子邮箱： </w:t>
      </w:r>
      <w:r>
        <w:rPr>
          <w:sz w:val="24"/>
          <w:szCs w:val="28"/>
          <w:u w:val="none"/>
        </w:rPr>
        <w:t>bpxiong@hfioe.cn</w:t>
      </w:r>
      <w:r>
        <w:rPr>
          <w:rFonts w:hint="eastAsia" w:hAnsi="宋体" w:eastAsia="宋体" w:cs="宋体"/>
          <w:sz w:val="24"/>
          <w:szCs w:val="24"/>
          <w:u w:val="none"/>
        </w:rPr>
        <w:t xml:space="preserve"> </w:t>
      </w:r>
    </w:p>
    <w:p w14:paraId="53232F28">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五、评审办法：</w:t>
      </w:r>
    </w:p>
    <w:p w14:paraId="07D4ECDF">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经评审最低价法。</w:t>
      </w:r>
    </w:p>
    <w:p w14:paraId="0E8FEA9A">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六、其他事项说明</w:t>
      </w:r>
    </w:p>
    <w:p w14:paraId="4227C347">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1、响应人在采购响应过程中有任何疑问或问题，请直接与联系人联系。</w:t>
      </w:r>
    </w:p>
    <w:p w14:paraId="0A7B5084">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u w:val="none"/>
        </w:rPr>
        <w:t>2、请响应人于</w:t>
      </w:r>
      <w:r>
        <w:rPr>
          <w:rFonts w:hint="eastAsia" w:hAnsi="宋体" w:eastAsia="宋体" w:cs="宋体"/>
          <w:b/>
          <w:bCs/>
          <w:sz w:val="24"/>
          <w:szCs w:val="24"/>
          <w:u w:val="none"/>
        </w:rPr>
        <w:t>响应文件递交截止时间</w:t>
      </w:r>
      <w:r>
        <w:rPr>
          <w:rFonts w:hint="eastAsia" w:hAnsi="宋体" w:eastAsia="宋体" w:cs="宋体"/>
          <w:sz w:val="24"/>
          <w:szCs w:val="24"/>
          <w:u w:val="none"/>
        </w:rPr>
        <w:t>前，将密封完好的响应文件送达至或邮递至指定地点 ，</w:t>
      </w:r>
      <w:r>
        <w:rPr>
          <w:rFonts w:hint="eastAsia" w:hAnsi="宋体" w:eastAsia="宋体" w:cs="宋体"/>
          <w:b/>
          <w:sz w:val="24"/>
          <w:szCs w:val="24"/>
          <w:u w:val="none"/>
        </w:rPr>
        <w:t>逾期将不予接收</w:t>
      </w:r>
      <w:r>
        <w:rPr>
          <w:rFonts w:hint="eastAsia" w:hAnsi="宋体" w:eastAsia="宋体" w:cs="宋体"/>
          <w:sz w:val="24"/>
          <w:szCs w:val="24"/>
          <w:u w:val="none"/>
        </w:rPr>
        <w:t>。</w:t>
      </w:r>
      <w:bookmarkEnd w:id="40"/>
    </w:p>
    <w:p w14:paraId="37CC83A3">
      <w:pPr>
        <w:spacing w:line="360" w:lineRule="auto"/>
        <w:rPr>
          <w:rFonts w:hint="eastAsia" w:ascii="宋体" w:hAnsi="宋体" w:eastAsia="宋体" w:cs="宋体"/>
          <w:color w:val="000000"/>
          <w:sz w:val="24"/>
          <w:szCs w:val="24"/>
        </w:rPr>
      </w:pPr>
    </w:p>
    <w:p w14:paraId="3BE2DA15">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08D5379E">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67D0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6C34FA8">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3DD3E721">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0556A3A6">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2EBB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A6B951">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042039D6">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63577F50">
            <w:pPr>
              <w:spacing w:line="440" w:lineRule="exact"/>
              <w:jc w:val="left"/>
              <w:rPr>
                <w:rFonts w:hint="eastAsia" w:ascii="宋体" w:hAnsi="宋体" w:eastAsia="宋体" w:cs="宋体"/>
                <w:sz w:val="24"/>
              </w:rPr>
            </w:pPr>
            <w:r>
              <w:rPr>
                <w:rFonts w:hint="eastAsia" w:ascii="宋体" w:hAnsi="宋体" w:eastAsia="宋体" w:cs="宋体"/>
                <w:kern w:val="0"/>
                <w:sz w:val="24"/>
                <w:szCs w:val="24"/>
              </w:rPr>
              <w:t>强化耐腐蚀PVC采购</w:t>
            </w:r>
          </w:p>
        </w:tc>
      </w:tr>
      <w:tr w14:paraId="1853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D3AFB67">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5ACBAC7B">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52A4D382">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0930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468238">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02FE6AC6">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7552EBE4">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050C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76B4F4D">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5ACE172F">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2F5C5A97">
            <w:pPr>
              <w:spacing w:line="440" w:lineRule="exact"/>
              <w:jc w:val="left"/>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2万元</w:t>
            </w:r>
          </w:p>
        </w:tc>
      </w:tr>
      <w:tr w14:paraId="7DF4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BF3BEAD">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10E6D35C">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0247221A">
            <w:pPr>
              <w:spacing w:line="440" w:lineRule="exact"/>
              <w:rPr>
                <w:rFonts w:hint="eastAsia" w:ascii="宋体" w:hAnsi="宋体" w:eastAsia="宋体" w:cs="宋体"/>
                <w:sz w:val="24"/>
              </w:rPr>
            </w:pPr>
            <w:r>
              <w:rPr>
                <w:rFonts w:hint="eastAsia" w:ascii="宋体" w:hAnsi="宋体" w:eastAsia="宋体" w:cs="宋体"/>
                <w:sz w:val="24"/>
              </w:rPr>
              <w:t>合同签订后，接采购人通知30日历天内完成交货、安装、调试、验收合格并交付使用。</w:t>
            </w:r>
          </w:p>
        </w:tc>
      </w:tr>
      <w:tr w14:paraId="78C3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5309D17">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0507313C">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7FF86EE9">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合肥市蜀山区湖光路电商园四期E楼5楼东侧</w:t>
            </w:r>
          </w:p>
        </w:tc>
      </w:tr>
      <w:tr w14:paraId="6467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B009454">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30470959">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303E62F7">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7C14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E5D84FD">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14C3C431">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354A3D08">
            <w:pPr>
              <w:spacing w:line="440" w:lineRule="exact"/>
              <w:rPr>
                <w:rFonts w:hint="eastAsia" w:ascii="宋体" w:hAnsi="宋体" w:eastAsia="宋体" w:cs="宋体"/>
                <w:sz w:val="24"/>
              </w:rPr>
            </w:pPr>
            <w:r>
              <w:rPr>
                <w:rFonts w:hint="eastAsia" w:ascii="宋体" w:hAnsi="宋体" w:eastAsia="宋体" w:cs="宋体"/>
                <w:sz w:val="24"/>
              </w:rPr>
              <w:t>合同签订后支付签约合同价的30%，货物送至采购人指定地点并安装调试完成，经采购人验收合格后支付签约合同价的67%；余款3%作为质量保证金，质保期（1年）满后一次性付清尾款。</w:t>
            </w:r>
          </w:p>
        </w:tc>
      </w:tr>
      <w:tr w14:paraId="351D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A903DE7">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7AA389FA">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6EF12B76">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1D1F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437191">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3C688E8F">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1231D759">
            <w:pPr>
              <w:spacing w:line="440" w:lineRule="exact"/>
              <w:rPr>
                <w:rFonts w:hint="eastAsia" w:ascii="宋体" w:hAnsi="宋体" w:eastAsia="宋体" w:cs="宋体"/>
                <w:sz w:val="24"/>
              </w:rPr>
            </w:pPr>
            <w:r>
              <w:rPr>
                <w:rFonts w:hint="eastAsia" w:ascii="宋体" w:hAnsi="宋体" w:eastAsia="宋体" w:cs="宋体"/>
                <w:sz w:val="24"/>
              </w:rPr>
              <w:t>无</w:t>
            </w:r>
          </w:p>
        </w:tc>
      </w:tr>
      <w:tr w14:paraId="0B58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FC83FE1">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50476F1B">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F7E4CE0">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797E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FDF43B0">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43349D97">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548E7DD9">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621C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34E1A2A">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364E6E56">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79EBB21B">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775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F3248DB">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721F03F">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7C0A6FEF">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56A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D4AACF">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76A993C6">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2970532">
            <w:pPr>
              <w:spacing w:line="440" w:lineRule="exact"/>
              <w:rPr>
                <w:rFonts w:hint="eastAsia" w:ascii="宋体" w:hAnsi="宋体" w:eastAsia="宋体" w:cs="宋体"/>
                <w:sz w:val="24"/>
              </w:rPr>
            </w:pPr>
            <w:r>
              <w:rPr>
                <w:rFonts w:hint="eastAsia" w:ascii="宋体" w:hAnsi="宋体" w:eastAsia="宋体" w:cs="宋体"/>
                <w:sz w:val="24"/>
              </w:rPr>
              <w:t>否</w:t>
            </w:r>
          </w:p>
        </w:tc>
      </w:tr>
      <w:tr w14:paraId="24B5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CA9CC7">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2FED4F71">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3E0D7107">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74C6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01C2CBE">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03ED59A8">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953369">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4DE21185">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6F23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B21177">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3D54BD8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6F6A4F9">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11C5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DF9C54C">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0212D8CB">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2813919B">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5AD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5C16ED4">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48C5B0CD">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631C96FD">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1003室</w:t>
            </w:r>
          </w:p>
        </w:tc>
      </w:tr>
      <w:tr w14:paraId="3D18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1061782">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41C0BF20">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1A7113DB">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7F137B3E">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296BECB1">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2C63FCD2">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12E6D8D0">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2F4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92EF38B">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49421BD9">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0833337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293D3E81">
      <w:pPr>
        <w:pStyle w:val="77"/>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2D939F93">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35D9389">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07F1AD0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5D8809E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46F20398">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4D80BC0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5EBA4244">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2A8D0FD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00A626A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1253281">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0B0F38F0">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62080565">
      <w:pPr>
        <w:pStyle w:val="77"/>
        <w:ind w:firstLine="482" w:firstLineChars="200"/>
        <w:jc w:val="both"/>
        <w:rPr>
          <w:rFonts w:hint="eastAsia" w:cs="宋体"/>
          <w:color w:val="000000"/>
          <w:sz w:val="24"/>
          <w:szCs w:val="24"/>
        </w:rPr>
      </w:pPr>
      <w:bookmarkStart w:id="12" w:name="_Toc29684"/>
      <w:bookmarkStart w:id="13" w:name="_Toc18651"/>
      <w:bookmarkStart w:id="14" w:name="_Toc6091"/>
      <w:bookmarkStart w:id="15" w:name="_Toc30095"/>
      <w:r>
        <w:rPr>
          <w:rFonts w:hint="eastAsia" w:cs="宋体"/>
          <w:color w:val="000000"/>
          <w:sz w:val="24"/>
          <w:szCs w:val="24"/>
        </w:rPr>
        <w:t>包含不限于以下内容：</w:t>
      </w:r>
      <w:bookmarkEnd w:id="12"/>
      <w:bookmarkEnd w:id="13"/>
      <w:bookmarkEnd w:id="14"/>
      <w:bookmarkEnd w:id="15"/>
    </w:p>
    <w:p w14:paraId="68C3D9B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3C8423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3440FD2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C3C24F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6A64191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1D2341A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6C9A6348">
      <w:pPr>
        <w:pStyle w:val="77"/>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9DFA329">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13834C37">
      <w:pPr>
        <w:spacing w:line="360" w:lineRule="auto"/>
        <w:rPr>
          <w:rFonts w:hint="eastAsia" w:ascii="宋体" w:hAnsi="宋体" w:eastAsia="宋体" w:cs="宋体"/>
          <w:color w:val="000000"/>
          <w:sz w:val="24"/>
          <w:szCs w:val="28"/>
        </w:rPr>
      </w:pPr>
    </w:p>
    <w:p w14:paraId="2F0F983F">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0450808F">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216158627"/>
      <w:bookmarkStart w:id="18" w:name="_Toc6149"/>
      <w:bookmarkStart w:id="19" w:name="_Toc363199267"/>
      <w:r>
        <w:rPr>
          <w:rFonts w:hint="eastAsia" w:ascii="宋体" w:hAnsi="宋体" w:eastAsia="宋体" w:cs="宋体"/>
          <w:b/>
          <w:color w:val="000000"/>
          <w:sz w:val="24"/>
          <w:szCs w:val="28"/>
        </w:rPr>
        <w:t>一、项目概况</w:t>
      </w:r>
    </w:p>
    <w:p w14:paraId="1F608EFF">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本次环境检测实验室</w:t>
      </w:r>
      <w:bookmarkStart w:id="20" w:name="_Hlk196466954"/>
      <w:r>
        <w:rPr>
          <w:rFonts w:hint="eastAsia" w:ascii="宋体" w:hAnsi="宋体" w:eastAsia="宋体" w:cs="宋体"/>
          <w:color w:val="000000"/>
          <w:sz w:val="24"/>
          <w:szCs w:val="28"/>
        </w:rPr>
        <w:t>强化耐腐蚀PVC采购</w:t>
      </w:r>
      <w:bookmarkEnd w:id="20"/>
      <w:r>
        <w:rPr>
          <w:rFonts w:hint="eastAsia" w:ascii="宋体" w:hAnsi="宋体" w:eastAsia="宋体" w:cs="宋体"/>
          <w:color w:val="000000"/>
          <w:sz w:val="24"/>
          <w:szCs w:val="28"/>
        </w:rPr>
        <w:t>（包含安装），位于合肥市蜀山区蜀山经济技术开发区电商园四期E栋5层东侧，本项目为实验室强化耐腐蚀PVC采购，旨在为实验区域提供高抗性、易清洁的地面环境，满足强酸、强碱、有机溶剂等腐蚀性物质的长期接触需求。通过铺设专业级耐腐蚀PVC卷材，结合标准化要求，确保地面系统符合相关实验室标准要求，同时实现防滑、抗静电、无缝密封的功能目标。</w:t>
      </w:r>
    </w:p>
    <w:p w14:paraId="565A8415">
      <w:pPr>
        <w:spacing w:line="360" w:lineRule="auto"/>
        <w:ind w:firstLine="482" w:firstLineChars="200"/>
        <w:rPr>
          <w:rFonts w:ascii="Times New Roman" w:hAnsi="Times New Roman" w:cs="Times New Roman"/>
          <w:b/>
          <w:sz w:val="24"/>
          <w:szCs w:val="28"/>
        </w:rPr>
      </w:pPr>
      <w:bookmarkStart w:id="21" w:name="OLE_LINK17"/>
      <w:bookmarkStart w:id="22" w:name="OLE_LINK16"/>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698A035A">
      <w:pPr>
        <w:adjustRightInd w:val="0"/>
        <w:snapToGrid w:val="0"/>
        <w:spacing w:line="360" w:lineRule="auto"/>
        <w:ind w:firstLine="480" w:firstLineChars="200"/>
        <w:jc w:val="left"/>
        <w:rPr>
          <w:rFonts w:hint="eastAsia" w:asciiTheme="majorEastAsia" w:hAnsiTheme="majorEastAsia" w:eastAsiaTheme="majorEastAsia"/>
          <w:color w:val="000000"/>
          <w:sz w:val="24"/>
          <w:szCs w:val="24"/>
        </w:rPr>
      </w:pPr>
      <w:r>
        <w:rPr>
          <w:rFonts w:asciiTheme="majorEastAsia" w:hAnsiTheme="majorEastAsia" w:eastAsiaTheme="majorEastAsia"/>
          <w:color w:val="000000"/>
          <w:sz w:val="24"/>
          <w:szCs w:val="24"/>
        </w:rPr>
        <w:t>2.1 采购需求清单</w:t>
      </w:r>
    </w:p>
    <w:tbl>
      <w:tblPr>
        <w:tblStyle w:val="30"/>
        <w:tblW w:w="0" w:type="auto"/>
        <w:tblInd w:w="118" w:type="dxa"/>
        <w:tblLayout w:type="autofit"/>
        <w:tblCellMar>
          <w:top w:w="0" w:type="dxa"/>
          <w:left w:w="108" w:type="dxa"/>
          <w:bottom w:w="0" w:type="dxa"/>
          <w:right w:w="108" w:type="dxa"/>
        </w:tblCellMar>
      </w:tblPr>
      <w:tblGrid>
        <w:gridCol w:w="1020"/>
        <w:gridCol w:w="1166"/>
        <w:gridCol w:w="5195"/>
        <w:gridCol w:w="850"/>
        <w:gridCol w:w="618"/>
      </w:tblGrid>
      <w:tr w14:paraId="37FF3951">
        <w:tblPrEx>
          <w:tblCellMar>
            <w:top w:w="0" w:type="dxa"/>
            <w:left w:w="108" w:type="dxa"/>
            <w:bottom w:w="0" w:type="dxa"/>
            <w:right w:w="108" w:type="dxa"/>
          </w:tblCellMar>
        </w:tblPrEx>
        <w:trPr>
          <w:trHeight w:val="33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CBBFEE9">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分项类别</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332F2802">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设备名称</w:t>
            </w:r>
          </w:p>
        </w:tc>
        <w:tc>
          <w:tcPr>
            <w:tcW w:w="5195" w:type="dxa"/>
            <w:tcBorders>
              <w:top w:val="single" w:color="000000" w:sz="8" w:space="0"/>
              <w:left w:val="nil"/>
              <w:bottom w:val="single" w:color="000000" w:sz="8" w:space="0"/>
              <w:right w:val="single" w:color="000000" w:sz="8" w:space="0"/>
            </w:tcBorders>
            <w:shd w:val="clear" w:color="auto" w:fill="auto"/>
            <w:vAlign w:val="center"/>
          </w:tcPr>
          <w:p w14:paraId="331E95C4">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参数要求</w:t>
            </w:r>
          </w:p>
        </w:tc>
        <w:tc>
          <w:tcPr>
            <w:tcW w:w="850" w:type="dxa"/>
            <w:tcBorders>
              <w:top w:val="single" w:color="000000" w:sz="8" w:space="0"/>
              <w:left w:val="nil"/>
              <w:bottom w:val="single" w:color="000000" w:sz="8" w:space="0"/>
              <w:right w:val="single" w:color="000000" w:sz="8" w:space="0"/>
            </w:tcBorders>
            <w:shd w:val="clear" w:color="auto" w:fill="auto"/>
            <w:vAlign w:val="center"/>
          </w:tcPr>
          <w:p w14:paraId="37644D28">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单位</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1DF0BFEA">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数量</w:t>
            </w:r>
          </w:p>
        </w:tc>
      </w:tr>
      <w:tr w14:paraId="46D2555F">
        <w:tblPrEx>
          <w:tblCellMar>
            <w:top w:w="0" w:type="dxa"/>
            <w:left w:w="108" w:type="dxa"/>
            <w:bottom w:w="0" w:type="dxa"/>
            <w:right w:w="108" w:type="dxa"/>
          </w:tblCellMar>
        </w:tblPrEx>
        <w:trPr>
          <w:trHeight w:val="407" w:hRule="exact"/>
        </w:trPr>
        <w:tc>
          <w:tcPr>
            <w:tcW w:w="0" w:type="auto"/>
            <w:vMerge w:val="restart"/>
            <w:tcBorders>
              <w:top w:val="nil"/>
              <w:left w:val="single" w:color="000000" w:sz="8" w:space="0"/>
              <w:bottom w:val="single" w:color="000000" w:sz="8" w:space="0"/>
              <w:right w:val="single" w:color="000000" w:sz="8" w:space="0"/>
            </w:tcBorders>
            <w:shd w:val="clear" w:color="auto" w:fill="FFFFFF"/>
            <w:vAlign w:val="center"/>
          </w:tcPr>
          <w:p w14:paraId="5546B2F0">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地面</w:t>
            </w:r>
          </w:p>
          <w:p w14:paraId="144B8B37">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铺设</w:t>
            </w:r>
          </w:p>
          <w:p w14:paraId="31287148">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部分</w:t>
            </w:r>
          </w:p>
        </w:tc>
        <w:tc>
          <w:tcPr>
            <w:tcW w:w="0" w:type="auto"/>
            <w:vMerge w:val="restart"/>
            <w:tcBorders>
              <w:top w:val="nil"/>
              <w:left w:val="nil"/>
              <w:bottom w:val="single" w:color="000000" w:sz="8" w:space="0"/>
              <w:right w:val="single" w:color="000000" w:sz="8" w:space="0"/>
            </w:tcBorders>
            <w:shd w:val="clear" w:color="auto" w:fill="FFFFFF"/>
            <w:vAlign w:val="center"/>
          </w:tcPr>
          <w:p w14:paraId="778EA8C0">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耐腐蚀PVC</w:t>
            </w:r>
          </w:p>
          <w:p w14:paraId="36ECC689">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地板</w:t>
            </w:r>
          </w:p>
        </w:tc>
        <w:tc>
          <w:tcPr>
            <w:tcW w:w="5195" w:type="dxa"/>
            <w:tcBorders>
              <w:top w:val="nil"/>
              <w:left w:val="nil"/>
              <w:bottom w:val="nil"/>
              <w:right w:val="single" w:color="000000" w:sz="8" w:space="0"/>
            </w:tcBorders>
            <w:shd w:val="clear" w:color="auto" w:fill="FFFFFF"/>
            <w:vAlign w:val="center"/>
          </w:tcPr>
          <w:p w14:paraId="3489481E">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材质：同质透芯卷材</w:t>
            </w:r>
          </w:p>
        </w:tc>
        <w:tc>
          <w:tcPr>
            <w:tcW w:w="850" w:type="dxa"/>
            <w:vMerge w:val="restart"/>
            <w:tcBorders>
              <w:top w:val="nil"/>
              <w:left w:val="nil"/>
              <w:bottom w:val="single" w:color="000000" w:sz="8" w:space="0"/>
              <w:right w:val="single" w:color="000000" w:sz="8" w:space="0"/>
            </w:tcBorders>
            <w:shd w:val="clear" w:color="auto" w:fill="auto"/>
            <w:vAlign w:val="center"/>
          </w:tcPr>
          <w:p w14:paraId="11A07248">
            <w:pPr>
              <w:widowControl/>
              <w:jc w:val="center"/>
              <w:rPr>
                <w:rFonts w:hint="eastAsia" w:cs="宋体" w:asciiTheme="majorEastAsia" w:hAnsiTheme="majorEastAsia" w:eastAsiaTheme="majorEastAsia"/>
                <w:color w:val="000000"/>
                <w:kern w:val="0"/>
                <w:sz w:val="20"/>
                <w:lang w:val="en-US" w:eastAsia="zh-CN"/>
              </w:rPr>
            </w:pPr>
            <w:r>
              <w:rPr>
                <w:rFonts w:hint="eastAsia" w:cs="宋体" w:asciiTheme="majorEastAsia" w:hAnsiTheme="majorEastAsia" w:eastAsiaTheme="majorEastAsia"/>
                <w:color w:val="000000"/>
                <w:kern w:val="0"/>
                <w:sz w:val="20"/>
              </w:rPr>
              <w:t>平方</w:t>
            </w:r>
            <w:r>
              <w:rPr>
                <w:rFonts w:hint="eastAsia" w:cs="宋体" w:asciiTheme="majorEastAsia" w:hAnsiTheme="majorEastAsia" w:eastAsiaTheme="majorEastAsia"/>
                <w:color w:val="000000"/>
                <w:kern w:val="0"/>
                <w:sz w:val="20"/>
                <w:lang w:val="en-US" w:eastAsia="zh-CN"/>
              </w:rPr>
              <w:t>米</w:t>
            </w:r>
          </w:p>
        </w:tc>
        <w:tc>
          <w:tcPr>
            <w:tcW w:w="0" w:type="auto"/>
            <w:vMerge w:val="restart"/>
            <w:tcBorders>
              <w:top w:val="nil"/>
              <w:left w:val="nil"/>
              <w:bottom w:val="single" w:color="000000" w:sz="8" w:space="0"/>
              <w:right w:val="single" w:color="000000" w:sz="8" w:space="0"/>
            </w:tcBorders>
            <w:shd w:val="clear" w:color="auto" w:fill="auto"/>
            <w:vAlign w:val="center"/>
          </w:tcPr>
          <w:p w14:paraId="534CDD4B">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1200</w:t>
            </w:r>
          </w:p>
        </w:tc>
      </w:tr>
      <w:tr w14:paraId="3746F44F">
        <w:tblPrEx>
          <w:tblCellMar>
            <w:top w:w="0" w:type="dxa"/>
            <w:left w:w="108" w:type="dxa"/>
            <w:bottom w:w="0" w:type="dxa"/>
            <w:right w:w="108" w:type="dxa"/>
          </w:tblCellMar>
        </w:tblPrEx>
        <w:trPr>
          <w:trHeight w:val="285" w:hRule="exact"/>
        </w:trPr>
        <w:tc>
          <w:tcPr>
            <w:tcW w:w="0" w:type="auto"/>
            <w:vMerge w:val="continue"/>
            <w:tcBorders>
              <w:top w:val="nil"/>
              <w:left w:val="single" w:color="000000" w:sz="8" w:space="0"/>
              <w:bottom w:val="single" w:color="000000" w:sz="8" w:space="0"/>
              <w:right w:val="single" w:color="000000" w:sz="8" w:space="0"/>
            </w:tcBorders>
            <w:vAlign w:val="center"/>
          </w:tcPr>
          <w:p w14:paraId="0E21F029">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470715C8">
            <w:pPr>
              <w:widowControl/>
              <w:jc w:val="left"/>
              <w:rPr>
                <w:rFonts w:hint="eastAsia" w:cs="宋体" w:asciiTheme="majorEastAsia" w:hAnsiTheme="majorEastAsia" w:eastAsiaTheme="majorEastAsia"/>
                <w:color w:val="000000"/>
                <w:kern w:val="0"/>
                <w:sz w:val="20"/>
              </w:rPr>
            </w:pPr>
          </w:p>
        </w:tc>
        <w:tc>
          <w:tcPr>
            <w:tcW w:w="5195" w:type="dxa"/>
            <w:tcBorders>
              <w:top w:val="nil"/>
              <w:left w:val="nil"/>
              <w:bottom w:val="nil"/>
              <w:right w:val="single" w:color="000000" w:sz="8" w:space="0"/>
            </w:tcBorders>
            <w:shd w:val="clear" w:color="auto" w:fill="FFFFFF"/>
            <w:vAlign w:val="center"/>
          </w:tcPr>
          <w:p w14:paraId="75DB7F08">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规格：2mm PVC卷材地板</w:t>
            </w:r>
          </w:p>
        </w:tc>
        <w:tc>
          <w:tcPr>
            <w:tcW w:w="850" w:type="dxa"/>
            <w:vMerge w:val="continue"/>
            <w:tcBorders>
              <w:top w:val="nil"/>
              <w:left w:val="nil"/>
              <w:bottom w:val="single" w:color="000000" w:sz="8" w:space="0"/>
              <w:right w:val="single" w:color="000000" w:sz="8" w:space="0"/>
            </w:tcBorders>
            <w:vAlign w:val="center"/>
          </w:tcPr>
          <w:p w14:paraId="00A54CE6">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6083B1C0">
            <w:pPr>
              <w:widowControl/>
              <w:jc w:val="left"/>
              <w:rPr>
                <w:rFonts w:hint="eastAsia" w:cs="宋体" w:asciiTheme="majorEastAsia" w:hAnsiTheme="majorEastAsia" w:eastAsiaTheme="majorEastAsia"/>
                <w:color w:val="000000"/>
                <w:kern w:val="0"/>
                <w:sz w:val="20"/>
              </w:rPr>
            </w:pPr>
          </w:p>
        </w:tc>
      </w:tr>
      <w:tr w14:paraId="3AE51FBD">
        <w:tblPrEx>
          <w:tblCellMar>
            <w:top w:w="0" w:type="dxa"/>
            <w:left w:w="108" w:type="dxa"/>
            <w:bottom w:w="0" w:type="dxa"/>
            <w:right w:w="108" w:type="dxa"/>
          </w:tblCellMar>
        </w:tblPrEx>
        <w:trPr>
          <w:trHeight w:val="567" w:hRule="exact"/>
        </w:trPr>
        <w:tc>
          <w:tcPr>
            <w:tcW w:w="0" w:type="auto"/>
            <w:vMerge w:val="continue"/>
            <w:tcBorders>
              <w:top w:val="nil"/>
              <w:left w:val="single" w:color="000000" w:sz="8" w:space="0"/>
              <w:bottom w:val="single" w:color="000000" w:sz="8" w:space="0"/>
              <w:right w:val="single" w:color="000000" w:sz="8" w:space="0"/>
            </w:tcBorders>
            <w:vAlign w:val="center"/>
          </w:tcPr>
          <w:p w14:paraId="38174CAC">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70E53162">
            <w:pPr>
              <w:widowControl/>
              <w:jc w:val="left"/>
              <w:rPr>
                <w:rFonts w:hint="eastAsia" w:cs="宋体" w:asciiTheme="majorEastAsia" w:hAnsiTheme="majorEastAsia" w:eastAsiaTheme="majorEastAsia"/>
                <w:color w:val="000000"/>
                <w:kern w:val="0"/>
                <w:sz w:val="20"/>
              </w:rPr>
            </w:pPr>
          </w:p>
        </w:tc>
        <w:tc>
          <w:tcPr>
            <w:tcW w:w="5195" w:type="dxa"/>
            <w:tcBorders>
              <w:top w:val="nil"/>
              <w:left w:val="nil"/>
              <w:bottom w:val="single" w:color="000000" w:sz="8" w:space="0"/>
              <w:right w:val="single" w:color="000000" w:sz="8" w:space="0"/>
            </w:tcBorders>
            <w:shd w:val="clear" w:color="auto" w:fill="FFFFFF"/>
            <w:vAlign w:val="center"/>
          </w:tcPr>
          <w:p w14:paraId="23A460B5">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含基层处理、水泥自流平、涂刷界面剂、压线条同色、PVC焊条焊接、安装</w:t>
            </w:r>
          </w:p>
        </w:tc>
        <w:tc>
          <w:tcPr>
            <w:tcW w:w="850" w:type="dxa"/>
            <w:vMerge w:val="continue"/>
            <w:tcBorders>
              <w:top w:val="nil"/>
              <w:left w:val="nil"/>
              <w:bottom w:val="single" w:color="000000" w:sz="8" w:space="0"/>
              <w:right w:val="single" w:color="000000" w:sz="8" w:space="0"/>
            </w:tcBorders>
            <w:vAlign w:val="center"/>
          </w:tcPr>
          <w:p w14:paraId="741ECD01">
            <w:pPr>
              <w:widowControl/>
              <w:jc w:val="left"/>
              <w:rPr>
                <w:rFonts w:hint="eastAsia" w:cs="宋体" w:asciiTheme="majorEastAsia" w:hAnsiTheme="majorEastAsia" w:eastAsiaTheme="majorEastAsia"/>
                <w:color w:val="000000"/>
                <w:kern w:val="0"/>
                <w:sz w:val="20"/>
              </w:rPr>
            </w:pPr>
          </w:p>
        </w:tc>
        <w:tc>
          <w:tcPr>
            <w:tcW w:w="0" w:type="auto"/>
            <w:vMerge w:val="continue"/>
            <w:tcBorders>
              <w:top w:val="nil"/>
              <w:left w:val="nil"/>
              <w:bottom w:val="single" w:color="000000" w:sz="8" w:space="0"/>
              <w:right w:val="single" w:color="000000" w:sz="8" w:space="0"/>
            </w:tcBorders>
            <w:vAlign w:val="center"/>
          </w:tcPr>
          <w:p w14:paraId="5CAB839E">
            <w:pPr>
              <w:widowControl/>
              <w:jc w:val="left"/>
              <w:rPr>
                <w:rFonts w:hint="eastAsia" w:cs="宋体" w:asciiTheme="majorEastAsia" w:hAnsiTheme="majorEastAsia" w:eastAsiaTheme="majorEastAsia"/>
                <w:color w:val="000000"/>
                <w:kern w:val="0"/>
                <w:sz w:val="20"/>
              </w:rPr>
            </w:pPr>
          </w:p>
        </w:tc>
      </w:tr>
    </w:tbl>
    <w:p w14:paraId="02FF5940">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2.2强化耐腐蚀PVC参数</w:t>
      </w:r>
    </w:p>
    <w:p w14:paraId="190F9996">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（1）实验室：PVC地板（颜色、质量以发包方确定的样品为准）；</w:t>
      </w:r>
    </w:p>
    <w:p w14:paraId="0683BEDA">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 xml:space="preserve">（2）地坪：采用PVC同质透心卷材PVC走廊采用分色上墙100mm高； </w:t>
      </w:r>
    </w:p>
    <w:p w14:paraId="073D73E3">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 xml:space="preserve">（3）PVC地板卷材:要求板面平整光滑、无裂纹、色泽均匀、厚薄一致、并符合设计要求及有关技术标准规定； </w:t>
      </w:r>
    </w:p>
    <w:p w14:paraId="5B9371E7">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 xml:space="preserve">（4）焊条:表面应平滑、无孔眼、无节瘤、无皱纹、颜色均匀一致，焊条成分、性能与地板材质相同； </w:t>
      </w:r>
    </w:p>
    <w:p w14:paraId="42858BBA">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（5）胶粘剂(包括界面剂、水性胶等):要求能速干、粘结强度高、耐水性强、环保无毒水性胶，并符合有关技术标准规定，且应单独存放、防火、防阳光曝晒等；</w:t>
      </w:r>
    </w:p>
    <w:p w14:paraId="184E2C20">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（6）自流平水泥:要求强度高、适应当下安装环境和温度的自流平水泥，并符合有关技术标准规定，如过期的自流平不得使用；</w:t>
      </w:r>
    </w:p>
    <w:p w14:paraId="09FF7B08">
      <w:pPr>
        <w:spacing w:line="360" w:lineRule="auto"/>
        <w:ind w:firstLine="240" w:firstLineChars="100"/>
        <w:rPr>
          <w:rFonts w:hint="eastAsia" w:asciiTheme="majorEastAsia" w:hAnsiTheme="majorEastAsia" w:eastAsiaTheme="majorEastAsia"/>
          <w:color w:val="000000"/>
          <w:sz w:val="24"/>
          <w:szCs w:val="28"/>
        </w:rPr>
      </w:pPr>
      <w:r>
        <w:rPr>
          <w:rFonts w:hint="eastAsia" w:asciiTheme="majorEastAsia" w:hAnsiTheme="majorEastAsia" w:eastAsiaTheme="majorEastAsia"/>
          <w:color w:val="000000"/>
          <w:sz w:val="24"/>
          <w:szCs w:val="28"/>
        </w:rPr>
        <w:t xml:space="preserve">（7）PVC 地板卷材库存需竖立存放，不得平放、重叠堆放--避免 PVC卷材变形，不得存放在潮湿、太阳照射的场所--避免板面变色，颜色不均匀。  </w:t>
      </w:r>
    </w:p>
    <w:bookmarkEnd w:id="21"/>
    <w:bookmarkEnd w:id="22"/>
    <w:p w14:paraId="291F864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396DFC6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4B78A2E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6E0E6D8E">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3A8DC12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6B386DB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ED57F7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0F88A3D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803642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526D4B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DBC079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717BF6C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3BB7491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017B1F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B72EF98">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335E927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4E264C3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2E473B3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DB7874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04CD37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4FCAED1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36F6CEE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356CEA5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2E678EDC">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55E053A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9F7182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37672148">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A74A41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37C7030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68CB2D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55A170E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2D74D6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7642FC3D">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02D3B77C">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0F32C553">
      <w:pPr>
        <w:bidi w:val="0"/>
        <w:rPr>
          <w:rFonts w:hint="eastAsia"/>
        </w:rPr>
      </w:pPr>
    </w:p>
    <w:p w14:paraId="29C8BA40">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149E037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0CF7BA6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16B6066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601FD41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40174A5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588B03D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681EC64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FA8E7E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0DD59AE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6A37D48">
      <w:pPr>
        <w:spacing w:line="360" w:lineRule="auto"/>
        <w:ind w:firstLine="480" w:firstLineChars="200"/>
        <w:rPr>
          <w:rFonts w:hint="eastAsia" w:ascii="宋体" w:hAnsi="宋体" w:eastAsia="宋体" w:cs="宋体"/>
          <w:color w:val="000000"/>
          <w:sz w:val="24"/>
          <w:szCs w:val="24"/>
        </w:rPr>
      </w:pPr>
    </w:p>
    <w:p w14:paraId="590A214D">
      <w:pPr>
        <w:pStyle w:val="4"/>
        <w:keepLines/>
        <w:ind w:left="720" w:hanging="720"/>
        <w:jc w:val="center"/>
        <w:rPr>
          <w:rFonts w:hint="eastAsia" w:ascii="宋体" w:hAnsi="宋体" w:eastAsia="宋体" w:cs="宋体"/>
          <w:color w:val="000000"/>
          <w:sz w:val="32"/>
        </w:rPr>
      </w:pPr>
      <w:bookmarkStart w:id="23" w:name="_Toc363199268"/>
      <w:bookmarkStart w:id="24" w:name="_Toc25322"/>
      <w:r>
        <w:rPr>
          <w:rFonts w:ascii="宋体" w:hAnsi="宋体" w:eastAsia="宋体" w:cs="宋体"/>
          <w:color w:val="000000"/>
          <w:sz w:val="32"/>
        </w:rPr>
        <w:t>七、</w:t>
      </w:r>
      <w:r>
        <w:rPr>
          <w:rFonts w:hint="eastAsia" w:ascii="宋体" w:hAnsi="宋体" w:eastAsia="宋体" w:cs="宋体"/>
          <w:color w:val="000000"/>
          <w:sz w:val="32"/>
        </w:rPr>
        <w:t>供应商报价须知</w:t>
      </w:r>
      <w:bookmarkEnd w:id="23"/>
      <w:bookmarkEnd w:id="24"/>
    </w:p>
    <w:p w14:paraId="74AC61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141C1C7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157C9B89">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686780E1">
      <w:pPr>
        <w:rPr>
          <w:rFonts w:hint="eastAsia"/>
        </w:rPr>
      </w:pPr>
      <w:bookmarkStart w:id="25" w:name="_Toc363199269"/>
    </w:p>
    <w:p w14:paraId="65C814B9">
      <w:pPr>
        <w:pStyle w:val="4"/>
        <w:keepLines/>
        <w:ind w:left="720" w:hanging="720"/>
        <w:jc w:val="center"/>
        <w:rPr>
          <w:rFonts w:hint="eastAsia" w:ascii="宋体" w:hAnsi="宋体" w:eastAsia="宋体" w:cs="宋体"/>
          <w:color w:val="000000"/>
          <w:sz w:val="32"/>
        </w:rPr>
      </w:pPr>
      <w:bookmarkStart w:id="26"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5"/>
      <w:bookmarkEnd w:id="26"/>
    </w:p>
    <w:p w14:paraId="47CFE7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DDDFD7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18525C02">
      <w:pPr>
        <w:rPr>
          <w:rFonts w:hint="eastAsia" w:ascii="宋体" w:hAnsi="宋体" w:eastAsia="宋体" w:cs="宋体"/>
          <w:color w:val="000000"/>
          <w:sz w:val="32"/>
          <w:szCs w:val="24"/>
        </w:rPr>
      </w:pPr>
      <w:bookmarkStart w:id="27" w:name="_Toc25479"/>
      <w:bookmarkStart w:id="28" w:name="_Toc363199273"/>
      <w:r>
        <w:rPr>
          <w:rFonts w:ascii="宋体" w:hAnsi="宋体" w:eastAsia="宋体" w:cs="宋体"/>
          <w:color w:val="000000"/>
          <w:sz w:val="32"/>
          <w:szCs w:val="24"/>
        </w:rPr>
        <w:br w:type="page"/>
      </w:r>
    </w:p>
    <w:p w14:paraId="2AA08A06">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7"/>
    </w:p>
    <w:p w14:paraId="6BDBE517">
      <w:pPr>
        <w:spacing w:line="500" w:lineRule="exact"/>
        <w:jc w:val="center"/>
        <w:rPr>
          <w:rFonts w:hint="eastAsia" w:ascii="宋体" w:hAnsi="宋体" w:eastAsia="宋体" w:cs="宋体"/>
          <w:b/>
          <w:color w:val="000000"/>
          <w:sz w:val="32"/>
        </w:rPr>
      </w:pPr>
    </w:p>
    <w:p w14:paraId="6DF0862F">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项目名称：强化耐腐蚀PVC采购</w:t>
      </w:r>
    </w:p>
    <w:p w14:paraId="3F58A964">
      <w:pPr>
        <w:spacing w:line="900" w:lineRule="exact"/>
        <w:jc w:val="center"/>
        <w:rPr>
          <w:rFonts w:hint="eastAsia" w:ascii="宋体" w:hAnsi="宋体" w:eastAsia="宋体" w:cs="宋体"/>
          <w:b/>
          <w:color w:val="000000"/>
          <w:sz w:val="28"/>
          <w:szCs w:val="6"/>
        </w:rPr>
      </w:pPr>
    </w:p>
    <w:p w14:paraId="476745F5">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5FF39FAB">
      <w:pPr>
        <w:spacing w:line="900" w:lineRule="exact"/>
        <w:jc w:val="center"/>
        <w:rPr>
          <w:rFonts w:hint="eastAsia" w:ascii="宋体" w:hAnsi="宋体" w:eastAsia="宋体" w:cs="宋体"/>
          <w:b/>
          <w:color w:val="000000"/>
          <w:sz w:val="72"/>
        </w:rPr>
      </w:pPr>
    </w:p>
    <w:p w14:paraId="204150E5">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04C918A4">
      <w:pPr>
        <w:spacing w:line="900" w:lineRule="exact"/>
        <w:jc w:val="center"/>
        <w:rPr>
          <w:rFonts w:hint="eastAsia" w:ascii="宋体" w:hAnsi="宋体" w:eastAsia="宋体" w:cs="宋体"/>
          <w:b/>
          <w:color w:val="000000"/>
          <w:sz w:val="72"/>
        </w:rPr>
      </w:pPr>
    </w:p>
    <w:p w14:paraId="31C30EF1">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2320F258">
      <w:pPr>
        <w:spacing w:line="900" w:lineRule="exact"/>
        <w:jc w:val="center"/>
        <w:rPr>
          <w:rFonts w:hint="eastAsia" w:ascii="宋体" w:hAnsi="宋体" w:eastAsia="宋体" w:cs="宋体"/>
          <w:b/>
          <w:color w:val="000000"/>
          <w:sz w:val="72"/>
        </w:rPr>
      </w:pPr>
    </w:p>
    <w:p w14:paraId="41FDD5B0">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41FB91DC">
      <w:pPr>
        <w:spacing w:after="156" w:afterLines="50"/>
        <w:jc w:val="center"/>
        <w:rPr>
          <w:rFonts w:hint="eastAsia" w:ascii="宋体" w:hAnsi="宋体" w:eastAsia="宋体" w:cs="宋体"/>
          <w:b/>
          <w:color w:val="000000"/>
          <w:sz w:val="72"/>
        </w:rPr>
      </w:pPr>
    </w:p>
    <w:p w14:paraId="6B17855A">
      <w:pPr>
        <w:spacing w:after="156" w:afterLines="50" w:line="500" w:lineRule="exact"/>
        <w:jc w:val="center"/>
        <w:rPr>
          <w:rFonts w:hint="eastAsia" w:ascii="宋体" w:hAnsi="宋体" w:eastAsia="宋体" w:cs="宋体"/>
          <w:b/>
          <w:color w:val="000000"/>
          <w:sz w:val="72"/>
        </w:rPr>
      </w:pPr>
    </w:p>
    <w:p w14:paraId="0063C523">
      <w:pPr>
        <w:spacing w:after="156" w:afterLines="50" w:line="500" w:lineRule="exact"/>
        <w:jc w:val="center"/>
        <w:rPr>
          <w:rFonts w:hint="eastAsia" w:ascii="宋体" w:hAnsi="宋体" w:eastAsia="宋体" w:cs="宋体"/>
          <w:b/>
          <w:color w:val="000000"/>
          <w:sz w:val="72"/>
        </w:rPr>
      </w:pPr>
    </w:p>
    <w:p w14:paraId="0E8E7183">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09A55F00">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283A2B85">
      <w:pPr>
        <w:spacing w:line="360" w:lineRule="auto"/>
        <w:rPr>
          <w:rFonts w:hint="eastAsia" w:ascii="宋体" w:hAnsi="宋体" w:eastAsia="宋体" w:cs="宋体"/>
          <w:color w:val="000000"/>
          <w:sz w:val="24"/>
          <w:szCs w:val="28"/>
        </w:rPr>
      </w:pPr>
    </w:p>
    <w:p w14:paraId="5AA452E8">
      <w:pPr>
        <w:spacing w:line="360" w:lineRule="auto"/>
        <w:rPr>
          <w:rFonts w:hint="eastAsia" w:ascii="宋体" w:hAnsi="宋体" w:eastAsia="宋体" w:cs="宋体"/>
          <w:color w:val="000000"/>
          <w:sz w:val="24"/>
          <w:szCs w:val="28"/>
        </w:rPr>
      </w:pPr>
    </w:p>
    <w:p w14:paraId="6D0D662B">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5C34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15824C">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2346F0E">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09556EF">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5AEF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4F111E0">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5F47B309">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5CAC596D">
            <w:pPr>
              <w:spacing w:line="360" w:lineRule="auto"/>
              <w:jc w:val="center"/>
              <w:rPr>
                <w:rFonts w:hint="eastAsia" w:ascii="宋体" w:hAnsi="宋体" w:eastAsia="宋体" w:cs="宋体"/>
                <w:b/>
                <w:color w:val="000000"/>
                <w:sz w:val="24"/>
              </w:rPr>
            </w:pPr>
          </w:p>
        </w:tc>
      </w:tr>
      <w:tr w14:paraId="757B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5D1BF28">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4A9F32E7">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5870ABCC">
            <w:pPr>
              <w:spacing w:line="360" w:lineRule="auto"/>
              <w:jc w:val="center"/>
              <w:rPr>
                <w:rFonts w:hint="eastAsia" w:ascii="宋体" w:hAnsi="宋体" w:eastAsia="宋体" w:cs="宋体"/>
                <w:b/>
                <w:color w:val="000000"/>
                <w:sz w:val="24"/>
              </w:rPr>
            </w:pPr>
          </w:p>
        </w:tc>
      </w:tr>
      <w:tr w14:paraId="7C15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049358C">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397EFA3">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66D10765">
            <w:pPr>
              <w:spacing w:line="360" w:lineRule="auto"/>
              <w:jc w:val="center"/>
              <w:rPr>
                <w:rFonts w:hint="eastAsia" w:ascii="宋体" w:hAnsi="宋体" w:eastAsia="宋体" w:cs="宋体"/>
                <w:b/>
                <w:color w:val="000000"/>
                <w:sz w:val="24"/>
              </w:rPr>
            </w:pPr>
          </w:p>
        </w:tc>
      </w:tr>
      <w:tr w14:paraId="742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4335917">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20EDAB63">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8D4BB3F">
            <w:pPr>
              <w:spacing w:line="360" w:lineRule="auto"/>
              <w:jc w:val="center"/>
              <w:rPr>
                <w:rFonts w:hint="eastAsia" w:ascii="宋体" w:hAnsi="宋体" w:eastAsia="宋体" w:cs="宋体"/>
                <w:b/>
                <w:color w:val="000000"/>
                <w:sz w:val="24"/>
              </w:rPr>
            </w:pPr>
          </w:p>
        </w:tc>
      </w:tr>
      <w:tr w14:paraId="7000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5810D28">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12E270B4">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140A7393">
            <w:pPr>
              <w:spacing w:line="360" w:lineRule="auto"/>
              <w:jc w:val="center"/>
              <w:rPr>
                <w:rFonts w:hint="eastAsia" w:ascii="宋体" w:hAnsi="宋体" w:eastAsia="宋体" w:cs="宋体"/>
                <w:b/>
                <w:color w:val="000000"/>
                <w:sz w:val="24"/>
              </w:rPr>
            </w:pPr>
          </w:p>
        </w:tc>
      </w:tr>
      <w:tr w14:paraId="3514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5D80B20C">
            <w:pPr>
              <w:jc w:val="center"/>
              <w:rPr>
                <w:rFonts w:hint="eastAsia" w:ascii="宋体" w:hAnsi="宋体" w:eastAsia="宋体" w:cs="宋体"/>
                <w:color w:val="000000"/>
                <w:sz w:val="24"/>
              </w:rPr>
            </w:pPr>
          </w:p>
        </w:tc>
        <w:tc>
          <w:tcPr>
            <w:tcW w:w="5460" w:type="dxa"/>
            <w:vAlign w:val="center"/>
          </w:tcPr>
          <w:p w14:paraId="2D3B6960">
            <w:pPr>
              <w:rPr>
                <w:rFonts w:hint="eastAsia" w:ascii="宋体" w:hAnsi="宋体" w:eastAsia="宋体" w:cs="宋体"/>
                <w:color w:val="000000"/>
                <w:sz w:val="24"/>
              </w:rPr>
            </w:pPr>
          </w:p>
        </w:tc>
        <w:tc>
          <w:tcPr>
            <w:tcW w:w="2625" w:type="dxa"/>
            <w:vAlign w:val="center"/>
          </w:tcPr>
          <w:p w14:paraId="5B465ABF">
            <w:pPr>
              <w:spacing w:line="360" w:lineRule="auto"/>
              <w:rPr>
                <w:rFonts w:hint="eastAsia" w:ascii="宋体" w:hAnsi="宋体" w:eastAsia="宋体" w:cs="宋体"/>
                <w:b/>
                <w:color w:val="000000"/>
                <w:sz w:val="24"/>
              </w:rPr>
            </w:pPr>
          </w:p>
        </w:tc>
      </w:tr>
    </w:tbl>
    <w:p w14:paraId="612FE8B9">
      <w:pPr>
        <w:spacing w:line="360" w:lineRule="auto"/>
        <w:jc w:val="center"/>
        <w:rPr>
          <w:rFonts w:hint="eastAsia" w:ascii="宋体" w:hAnsi="宋体" w:eastAsia="宋体" w:cs="宋体"/>
          <w:b/>
          <w:color w:val="000000"/>
          <w:sz w:val="24"/>
        </w:rPr>
      </w:pPr>
    </w:p>
    <w:p w14:paraId="05FFF952">
      <w:pPr>
        <w:spacing w:line="360" w:lineRule="auto"/>
        <w:jc w:val="center"/>
        <w:rPr>
          <w:rFonts w:hint="eastAsia" w:ascii="宋体" w:hAnsi="宋体" w:eastAsia="宋体" w:cs="宋体"/>
          <w:b/>
          <w:color w:val="000000"/>
          <w:sz w:val="24"/>
        </w:rPr>
      </w:pPr>
    </w:p>
    <w:p w14:paraId="480C78C9">
      <w:pPr>
        <w:spacing w:line="360" w:lineRule="auto"/>
        <w:jc w:val="center"/>
        <w:rPr>
          <w:rFonts w:hint="eastAsia" w:ascii="宋体" w:hAnsi="宋体" w:eastAsia="宋体" w:cs="宋体"/>
          <w:b/>
          <w:color w:val="000000"/>
          <w:sz w:val="24"/>
        </w:rPr>
      </w:pPr>
    </w:p>
    <w:p w14:paraId="21828120">
      <w:pPr>
        <w:spacing w:line="360" w:lineRule="auto"/>
        <w:jc w:val="center"/>
        <w:rPr>
          <w:rFonts w:hint="eastAsia" w:ascii="宋体" w:hAnsi="宋体" w:eastAsia="宋体" w:cs="宋体"/>
          <w:b/>
          <w:color w:val="000000"/>
          <w:sz w:val="24"/>
        </w:rPr>
      </w:pPr>
    </w:p>
    <w:p w14:paraId="26A074C1">
      <w:pPr>
        <w:spacing w:line="360" w:lineRule="auto"/>
        <w:jc w:val="center"/>
        <w:rPr>
          <w:rFonts w:hint="eastAsia" w:ascii="宋体" w:hAnsi="宋体" w:eastAsia="宋体" w:cs="宋体"/>
          <w:b/>
          <w:color w:val="000000"/>
          <w:sz w:val="24"/>
        </w:rPr>
      </w:pPr>
    </w:p>
    <w:p w14:paraId="74ABD891">
      <w:pPr>
        <w:spacing w:line="360" w:lineRule="auto"/>
        <w:jc w:val="center"/>
        <w:rPr>
          <w:rFonts w:hint="eastAsia" w:ascii="宋体" w:hAnsi="宋体" w:eastAsia="宋体" w:cs="宋体"/>
          <w:b/>
          <w:color w:val="000000"/>
          <w:sz w:val="24"/>
        </w:rPr>
      </w:pPr>
    </w:p>
    <w:p w14:paraId="7FA02550">
      <w:pPr>
        <w:spacing w:line="360" w:lineRule="auto"/>
        <w:jc w:val="center"/>
        <w:rPr>
          <w:rFonts w:hint="eastAsia" w:ascii="宋体" w:hAnsi="宋体" w:eastAsia="宋体" w:cs="宋体"/>
          <w:b/>
          <w:color w:val="000000"/>
          <w:sz w:val="24"/>
        </w:rPr>
      </w:pPr>
    </w:p>
    <w:p w14:paraId="3DC46AF8">
      <w:pPr>
        <w:spacing w:line="360" w:lineRule="auto"/>
        <w:jc w:val="center"/>
        <w:rPr>
          <w:rFonts w:hint="eastAsia" w:ascii="宋体" w:hAnsi="宋体" w:eastAsia="宋体" w:cs="宋体"/>
          <w:b/>
          <w:color w:val="000000"/>
          <w:sz w:val="24"/>
        </w:rPr>
      </w:pPr>
    </w:p>
    <w:p w14:paraId="33487E24">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7F1C00F1">
      <w:pPr>
        <w:pStyle w:val="6"/>
        <w:rPr>
          <w:rFonts w:hint="eastAsia" w:ascii="宋体" w:hAnsi="宋体" w:eastAsia="宋体" w:cs="宋体"/>
          <w:color w:val="000000"/>
          <w:sz w:val="24"/>
          <w:szCs w:val="24"/>
        </w:rPr>
      </w:pPr>
      <w:bookmarkStart w:id="29" w:name="_Toc4938"/>
      <w:bookmarkStart w:id="30" w:name="_Toc5390"/>
      <w:r>
        <w:rPr>
          <w:rFonts w:hint="eastAsia" w:ascii="宋体" w:hAnsi="宋体" w:eastAsia="宋体" w:cs="宋体"/>
          <w:color w:val="000000"/>
          <w:sz w:val="24"/>
          <w:szCs w:val="24"/>
        </w:rPr>
        <w:t>附件一</w:t>
      </w:r>
      <w:bookmarkEnd w:id="29"/>
      <w:bookmarkEnd w:id="30"/>
    </w:p>
    <w:p w14:paraId="705D23E5">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4036FC41">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560B92C2">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18783164">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3A46D295">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509F69E">
            <w:pPr>
              <w:jc w:val="center"/>
              <w:rPr>
                <w:rFonts w:hint="eastAsia" w:ascii="宋体" w:hAnsi="宋体" w:eastAsia="宋体" w:cs="宋体"/>
                <w:b/>
                <w:bCs/>
                <w:color w:val="000000"/>
                <w:sz w:val="32"/>
                <w:szCs w:val="32"/>
              </w:rPr>
            </w:pPr>
          </w:p>
        </w:tc>
      </w:tr>
      <w:tr w14:paraId="65C293FE">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A096709">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4255E6E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4B45B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461F859E">
            <w:pPr>
              <w:jc w:val="center"/>
              <w:rPr>
                <w:rFonts w:hint="eastAsia" w:ascii="宋体" w:hAnsi="宋体" w:eastAsia="宋体" w:cs="宋体"/>
                <w:color w:val="000000"/>
                <w:sz w:val="22"/>
                <w:szCs w:val="22"/>
              </w:rPr>
            </w:pPr>
          </w:p>
        </w:tc>
      </w:tr>
      <w:tr w14:paraId="2AD6F9B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488D4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404C7057">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4F7E84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43B227B1">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4A995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8C724AF">
            <w:pPr>
              <w:jc w:val="center"/>
              <w:rPr>
                <w:rFonts w:hint="eastAsia" w:ascii="宋体" w:hAnsi="宋体" w:eastAsia="宋体" w:cs="宋体"/>
                <w:color w:val="000000"/>
                <w:sz w:val="22"/>
                <w:szCs w:val="22"/>
              </w:rPr>
            </w:pPr>
          </w:p>
        </w:tc>
      </w:tr>
      <w:tr w14:paraId="166614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4366E1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07296F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5BB2B4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71D5F3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37DDDD36">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57C23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41E4496F">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51A6D69">
            <w:pPr>
              <w:jc w:val="center"/>
              <w:rPr>
                <w:rFonts w:hint="eastAsia" w:ascii="宋体" w:hAnsi="宋体" w:eastAsia="宋体" w:cs="宋体"/>
                <w:color w:val="000000"/>
                <w:sz w:val="22"/>
                <w:szCs w:val="22"/>
              </w:rPr>
            </w:pPr>
          </w:p>
        </w:tc>
      </w:tr>
      <w:tr w14:paraId="11C9802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DE1FD90">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29C5E88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A459E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5BD4C76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0CF39A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86FB586">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093C07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6F4AF5D5">
            <w:pPr>
              <w:jc w:val="center"/>
              <w:rPr>
                <w:rFonts w:hint="eastAsia" w:ascii="宋体" w:hAnsi="宋体" w:eastAsia="宋体" w:cs="宋体"/>
                <w:color w:val="000000"/>
                <w:sz w:val="22"/>
                <w:szCs w:val="22"/>
              </w:rPr>
            </w:pPr>
          </w:p>
        </w:tc>
      </w:tr>
      <w:tr w14:paraId="1A079108">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876A8D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6B38D8A2">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7EDBC17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4F9949B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6AD01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618371F">
            <w:pPr>
              <w:jc w:val="center"/>
              <w:rPr>
                <w:rFonts w:hint="eastAsia" w:ascii="宋体" w:hAnsi="宋体" w:eastAsia="宋体" w:cs="宋体"/>
                <w:color w:val="800080"/>
                <w:sz w:val="22"/>
                <w:szCs w:val="22"/>
                <w:u w:val="single"/>
              </w:rPr>
            </w:pPr>
          </w:p>
        </w:tc>
      </w:tr>
      <w:tr w14:paraId="6AA3360B">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F53A1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66C0FB4">
            <w:pPr>
              <w:jc w:val="center"/>
              <w:rPr>
                <w:rFonts w:hint="eastAsia" w:ascii="宋体" w:hAnsi="宋体" w:eastAsia="宋体" w:cs="宋体"/>
                <w:color w:val="000000"/>
                <w:sz w:val="22"/>
                <w:szCs w:val="22"/>
              </w:rPr>
            </w:pPr>
          </w:p>
        </w:tc>
      </w:tr>
      <w:tr w14:paraId="587906F4">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25D33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C7BE7D1">
            <w:pPr>
              <w:jc w:val="center"/>
              <w:rPr>
                <w:rFonts w:hint="eastAsia" w:ascii="宋体" w:hAnsi="宋体" w:eastAsia="宋体" w:cs="宋体"/>
                <w:color w:val="000000"/>
                <w:sz w:val="22"/>
                <w:szCs w:val="22"/>
              </w:rPr>
            </w:pPr>
          </w:p>
        </w:tc>
      </w:tr>
      <w:tr w14:paraId="1EE8D9D6">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60CAA2A">
            <w:pPr>
              <w:jc w:val="center"/>
              <w:rPr>
                <w:rFonts w:hint="eastAsia" w:ascii="宋体" w:hAnsi="宋体" w:eastAsia="宋体" w:cs="宋体"/>
                <w:color w:val="000000"/>
                <w:sz w:val="22"/>
                <w:szCs w:val="22"/>
              </w:rPr>
            </w:pPr>
          </w:p>
        </w:tc>
      </w:tr>
      <w:tr w14:paraId="37473DD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5F9B2A4">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67F750EE">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31CD3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3DF20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1FA00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EFA0E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6A054A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0E35A318">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5E8A3BD">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8DE4502">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20A0BCF">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673D2DF">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46DAA93">
            <w:pPr>
              <w:jc w:val="center"/>
              <w:rPr>
                <w:rFonts w:hint="eastAsia" w:ascii="宋体" w:hAnsi="宋体" w:eastAsia="宋体" w:cs="宋体"/>
                <w:color w:val="000000"/>
                <w:sz w:val="22"/>
                <w:szCs w:val="22"/>
              </w:rPr>
            </w:pPr>
          </w:p>
        </w:tc>
      </w:tr>
      <w:tr w14:paraId="3C2BAAC6">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ABE9374">
            <w:pPr>
              <w:jc w:val="center"/>
              <w:rPr>
                <w:rFonts w:hint="eastAsia" w:ascii="宋体" w:hAnsi="宋体" w:eastAsia="宋体" w:cs="宋体"/>
                <w:color w:val="000000"/>
                <w:sz w:val="22"/>
                <w:szCs w:val="22"/>
              </w:rPr>
            </w:pPr>
          </w:p>
        </w:tc>
      </w:tr>
      <w:tr w14:paraId="184AD79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2433B6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76DDC38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A3D17A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4C1B8DC">
            <w:pPr>
              <w:jc w:val="center"/>
              <w:rPr>
                <w:rFonts w:hint="eastAsia" w:ascii="宋体" w:hAnsi="宋体" w:eastAsia="宋体" w:cs="宋体"/>
                <w:color w:val="000000"/>
                <w:sz w:val="22"/>
                <w:szCs w:val="22"/>
              </w:rPr>
            </w:pPr>
          </w:p>
        </w:tc>
      </w:tr>
      <w:tr w14:paraId="4566C3F1">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4A343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4F18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536C69E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12796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66CF9A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39C0374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277D6A3">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A71D5C7">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1C22ED5D">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02F8D9DD">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FCA94EE">
            <w:pPr>
              <w:jc w:val="center"/>
              <w:rPr>
                <w:rFonts w:hint="eastAsia" w:ascii="宋体" w:hAnsi="宋体" w:eastAsia="宋体" w:cs="宋体"/>
                <w:color w:val="000000"/>
                <w:sz w:val="22"/>
                <w:szCs w:val="22"/>
              </w:rPr>
            </w:pPr>
          </w:p>
        </w:tc>
      </w:tr>
    </w:tbl>
    <w:p w14:paraId="1E161802">
      <w:pPr>
        <w:spacing w:line="500" w:lineRule="exact"/>
        <w:jc w:val="center"/>
        <w:rPr>
          <w:rFonts w:hint="eastAsia" w:ascii="宋体" w:hAnsi="宋体" w:eastAsia="宋体" w:cs="宋体"/>
          <w:color w:val="000000"/>
          <w:sz w:val="24"/>
        </w:rPr>
      </w:pPr>
    </w:p>
    <w:p w14:paraId="50A3BD72">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34A7AB83">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1F6B860D">
      <w:pPr>
        <w:spacing w:line="500" w:lineRule="exact"/>
        <w:jc w:val="center"/>
        <w:rPr>
          <w:rFonts w:hint="eastAsia" w:ascii="宋体" w:hAnsi="宋体" w:eastAsia="宋体" w:cs="宋体"/>
          <w:color w:val="000000"/>
          <w:sz w:val="24"/>
        </w:rPr>
      </w:pPr>
    </w:p>
    <w:p w14:paraId="7B0262CE">
      <w:pPr>
        <w:spacing w:line="500" w:lineRule="exact"/>
        <w:jc w:val="center"/>
        <w:rPr>
          <w:rFonts w:hint="eastAsia" w:ascii="宋体" w:hAnsi="宋体" w:eastAsia="宋体" w:cs="宋体"/>
          <w:color w:val="000000"/>
          <w:sz w:val="24"/>
        </w:rPr>
      </w:pPr>
    </w:p>
    <w:p w14:paraId="259580FC">
      <w:pPr>
        <w:spacing w:line="500" w:lineRule="exact"/>
        <w:jc w:val="center"/>
        <w:rPr>
          <w:rFonts w:hint="eastAsia" w:ascii="宋体" w:hAnsi="宋体" w:eastAsia="宋体" w:cs="宋体"/>
          <w:color w:val="000000"/>
          <w:sz w:val="24"/>
        </w:rPr>
      </w:pPr>
    </w:p>
    <w:p w14:paraId="7381F8AB">
      <w:pPr>
        <w:spacing w:line="500" w:lineRule="exact"/>
        <w:jc w:val="center"/>
        <w:rPr>
          <w:rFonts w:hint="eastAsia" w:ascii="宋体" w:hAnsi="宋体" w:eastAsia="宋体" w:cs="宋体"/>
          <w:color w:val="000000"/>
          <w:sz w:val="24"/>
        </w:rPr>
      </w:pPr>
    </w:p>
    <w:p w14:paraId="5C2DB001">
      <w:pPr>
        <w:pStyle w:val="6"/>
        <w:rPr>
          <w:rFonts w:hint="eastAsia" w:ascii="宋体" w:hAnsi="宋体" w:eastAsia="宋体" w:cs="宋体"/>
          <w:color w:val="000000"/>
          <w:sz w:val="24"/>
          <w:szCs w:val="24"/>
        </w:rPr>
      </w:pPr>
      <w:bookmarkStart w:id="31" w:name="_Toc24205"/>
      <w:bookmarkStart w:id="32" w:name="_Toc1715"/>
      <w:r>
        <w:rPr>
          <w:rFonts w:hint="eastAsia" w:ascii="宋体" w:hAnsi="宋体" w:eastAsia="宋体" w:cs="宋体"/>
          <w:color w:val="000000"/>
          <w:sz w:val="24"/>
          <w:szCs w:val="24"/>
        </w:rPr>
        <w:t>附件二</w:t>
      </w:r>
      <w:bookmarkEnd w:id="31"/>
      <w:bookmarkEnd w:id="32"/>
    </w:p>
    <w:p w14:paraId="5FC6082E">
      <w:pPr>
        <w:spacing w:line="360" w:lineRule="auto"/>
        <w:jc w:val="center"/>
        <w:rPr>
          <w:rFonts w:hint="eastAsia" w:ascii="宋体" w:hAnsi="宋体" w:eastAsia="宋体" w:cs="宋体"/>
          <w:b/>
          <w:color w:val="000000"/>
          <w:sz w:val="24"/>
          <w:szCs w:val="24"/>
        </w:rPr>
      </w:pPr>
      <w:bookmarkStart w:id="33" w:name="_Toc516969098"/>
      <w:bookmarkStart w:id="34" w:name="_Toc148501698"/>
      <w:r>
        <w:rPr>
          <w:rFonts w:hint="eastAsia" w:ascii="宋体" w:hAnsi="宋体" w:eastAsia="宋体" w:cs="宋体"/>
          <w:b/>
          <w:color w:val="000000"/>
          <w:sz w:val="24"/>
          <w:szCs w:val="24"/>
        </w:rPr>
        <w:t>报价</w:t>
      </w:r>
      <w:bookmarkEnd w:id="33"/>
      <w:bookmarkEnd w:id="34"/>
      <w:r>
        <w:rPr>
          <w:rFonts w:hint="eastAsia" w:ascii="宋体" w:hAnsi="宋体" w:eastAsia="宋体" w:cs="宋体"/>
          <w:b/>
          <w:bCs/>
          <w:color w:val="000000"/>
          <w:sz w:val="24"/>
          <w:szCs w:val="24"/>
        </w:rPr>
        <w:t>声明</w:t>
      </w:r>
    </w:p>
    <w:p w14:paraId="4B34A32E">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D64E6B7">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强化耐腐蚀PVC采购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62F3CD8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3E1F8B3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5B2D273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E45EEB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0BE5151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6E65F46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585F16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52E36E4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7A0A8C2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01AED53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2B373364">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7FBB5FF0">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8"/>
    <w:p w14:paraId="525C7E83">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416E390A">
      <w:pPr>
        <w:jc w:val="center"/>
        <w:rPr>
          <w:rFonts w:hint="eastAsia" w:ascii="宋体" w:hAnsi="宋体" w:eastAsia="宋体" w:cs="宋体"/>
          <w:b/>
          <w:color w:val="000000"/>
          <w:sz w:val="24"/>
          <w:szCs w:val="24"/>
        </w:rPr>
      </w:pPr>
    </w:p>
    <w:p w14:paraId="3C8EF91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53F7CE7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0"/>
        <w:tblW w:w="4997" w:type="pct"/>
        <w:tblInd w:w="0" w:type="dxa"/>
        <w:tblLayout w:type="autofit"/>
        <w:tblCellMar>
          <w:top w:w="0" w:type="dxa"/>
          <w:left w:w="108" w:type="dxa"/>
          <w:bottom w:w="0" w:type="dxa"/>
          <w:right w:w="108" w:type="dxa"/>
        </w:tblCellMar>
      </w:tblPr>
      <w:tblGrid>
        <w:gridCol w:w="754"/>
        <w:gridCol w:w="885"/>
        <w:gridCol w:w="4503"/>
        <w:gridCol w:w="603"/>
        <w:gridCol w:w="616"/>
        <w:gridCol w:w="819"/>
        <w:gridCol w:w="819"/>
      </w:tblGrid>
      <w:tr w14:paraId="0EB5C252">
        <w:tblPrEx>
          <w:tblCellMar>
            <w:top w:w="0" w:type="dxa"/>
            <w:left w:w="108" w:type="dxa"/>
            <w:bottom w:w="0" w:type="dxa"/>
            <w:right w:w="108" w:type="dxa"/>
          </w:tblCellMar>
        </w:tblPrEx>
        <w:trPr>
          <w:trHeight w:val="330"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33DF35">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分项类别</w:t>
            </w:r>
          </w:p>
        </w:tc>
        <w:tc>
          <w:tcPr>
            <w:tcW w:w="570" w:type="pct"/>
            <w:tcBorders>
              <w:top w:val="single" w:color="000000" w:sz="8" w:space="0"/>
              <w:left w:val="nil"/>
              <w:bottom w:val="single" w:color="000000" w:sz="8" w:space="0"/>
              <w:right w:val="single" w:color="000000" w:sz="8" w:space="0"/>
            </w:tcBorders>
            <w:shd w:val="clear" w:color="auto" w:fill="auto"/>
            <w:vAlign w:val="center"/>
          </w:tcPr>
          <w:p w14:paraId="0DCCF875">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设备名称</w:t>
            </w:r>
          </w:p>
        </w:tc>
        <w:tc>
          <w:tcPr>
            <w:tcW w:w="2579" w:type="pct"/>
            <w:tcBorders>
              <w:top w:val="single" w:color="000000" w:sz="8" w:space="0"/>
              <w:left w:val="nil"/>
              <w:bottom w:val="single" w:color="000000" w:sz="8" w:space="0"/>
              <w:right w:val="single" w:color="000000" w:sz="8" w:space="0"/>
            </w:tcBorders>
            <w:shd w:val="clear" w:color="auto" w:fill="auto"/>
            <w:vAlign w:val="center"/>
          </w:tcPr>
          <w:p w14:paraId="17C60780">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参数要求</w:t>
            </w:r>
          </w:p>
        </w:tc>
        <w:tc>
          <w:tcPr>
            <w:tcW w:w="413" w:type="pct"/>
            <w:tcBorders>
              <w:top w:val="single" w:color="000000" w:sz="8" w:space="0"/>
              <w:left w:val="nil"/>
              <w:bottom w:val="single" w:color="000000" w:sz="8" w:space="0"/>
              <w:right w:val="single" w:color="000000" w:sz="8" w:space="0"/>
            </w:tcBorders>
            <w:shd w:val="clear" w:color="auto" w:fill="auto"/>
            <w:vAlign w:val="center"/>
          </w:tcPr>
          <w:p w14:paraId="0C753A7C">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单位</w:t>
            </w:r>
          </w:p>
        </w:tc>
        <w:tc>
          <w:tcPr>
            <w:tcW w:w="342" w:type="pct"/>
            <w:tcBorders>
              <w:top w:val="single" w:color="000000" w:sz="8" w:space="0"/>
              <w:left w:val="nil"/>
              <w:bottom w:val="single" w:color="000000" w:sz="8" w:space="0"/>
              <w:right w:val="single" w:color="000000" w:sz="8" w:space="0"/>
            </w:tcBorders>
            <w:shd w:val="clear" w:color="auto" w:fill="auto"/>
            <w:vAlign w:val="center"/>
          </w:tcPr>
          <w:p w14:paraId="5557F961">
            <w:pPr>
              <w:widowControl/>
              <w:jc w:val="center"/>
              <w:rPr>
                <w:rFonts w:hint="eastAsia" w:cs="宋体" w:asciiTheme="majorEastAsia" w:hAnsiTheme="majorEastAsia" w:eastAsiaTheme="majorEastAsia"/>
                <w:b/>
                <w:bCs/>
                <w:color w:val="000000"/>
                <w:kern w:val="0"/>
                <w:sz w:val="20"/>
              </w:rPr>
            </w:pPr>
            <w:r>
              <w:rPr>
                <w:rFonts w:hint="eastAsia" w:cs="宋体" w:asciiTheme="majorEastAsia" w:hAnsiTheme="majorEastAsia" w:eastAsiaTheme="majorEastAsia"/>
                <w:b/>
                <w:bCs/>
                <w:color w:val="000000"/>
                <w:kern w:val="0"/>
                <w:sz w:val="20"/>
              </w:rPr>
              <w:t>数量</w:t>
            </w:r>
          </w:p>
        </w:tc>
        <w:tc>
          <w:tcPr>
            <w:tcW w:w="298" w:type="pct"/>
            <w:tcBorders>
              <w:top w:val="single" w:color="000000" w:sz="8" w:space="0"/>
              <w:left w:val="nil"/>
              <w:bottom w:val="single" w:color="000000" w:sz="8" w:space="0"/>
              <w:right w:val="single" w:color="000000" w:sz="8" w:space="0"/>
            </w:tcBorders>
            <w:shd w:val="clear" w:color="auto" w:fill="auto"/>
            <w:vAlign w:val="center"/>
          </w:tcPr>
          <w:p w14:paraId="032AC3CA">
            <w:pPr>
              <w:widowControl/>
              <w:jc w:val="center"/>
              <w:rPr>
                <w:rFonts w:hint="default" w:cs="宋体" w:asciiTheme="majorEastAsia" w:hAnsiTheme="majorEastAsia" w:eastAsiaTheme="majorEastAsia"/>
                <w:b/>
                <w:bCs/>
                <w:color w:val="000000"/>
                <w:kern w:val="0"/>
                <w:sz w:val="20"/>
                <w:lang w:val="en-US" w:eastAsia="zh-CN"/>
              </w:rPr>
            </w:pPr>
            <w:r>
              <w:rPr>
                <w:rFonts w:hint="eastAsia" w:cs="宋体" w:asciiTheme="majorEastAsia" w:hAnsiTheme="majorEastAsia" w:eastAsiaTheme="majorEastAsia"/>
                <w:b/>
                <w:bCs/>
                <w:color w:val="000000"/>
                <w:kern w:val="0"/>
                <w:sz w:val="20"/>
                <w:lang w:val="en-US" w:eastAsia="zh-CN"/>
              </w:rPr>
              <w:t>综合单价（元）</w:t>
            </w:r>
          </w:p>
        </w:tc>
        <w:tc>
          <w:tcPr>
            <w:tcW w:w="298" w:type="pct"/>
            <w:tcBorders>
              <w:top w:val="single" w:color="000000" w:sz="8" w:space="0"/>
              <w:left w:val="nil"/>
              <w:bottom w:val="single" w:color="000000" w:sz="8" w:space="0"/>
              <w:right w:val="single" w:color="000000" w:sz="8" w:space="0"/>
            </w:tcBorders>
            <w:shd w:val="clear" w:color="auto" w:fill="auto"/>
            <w:vAlign w:val="center"/>
          </w:tcPr>
          <w:p w14:paraId="0323A097">
            <w:pPr>
              <w:widowControl/>
              <w:jc w:val="center"/>
              <w:rPr>
                <w:rFonts w:hint="default" w:cs="宋体" w:asciiTheme="majorEastAsia" w:hAnsiTheme="majorEastAsia" w:eastAsiaTheme="majorEastAsia"/>
                <w:b/>
                <w:bCs/>
                <w:color w:val="000000"/>
                <w:kern w:val="0"/>
                <w:sz w:val="20"/>
                <w:lang w:val="en-US" w:eastAsia="zh-CN"/>
              </w:rPr>
            </w:pPr>
            <w:r>
              <w:rPr>
                <w:rFonts w:hint="eastAsia" w:cs="宋体" w:asciiTheme="majorEastAsia" w:hAnsiTheme="majorEastAsia" w:eastAsiaTheme="majorEastAsia"/>
                <w:b/>
                <w:bCs/>
                <w:color w:val="000000"/>
                <w:kern w:val="0"/>
                <w:sz w:val="20"/>
                <w:lang w:val="en-US" w:eastAsia="zh-CN"/>
              </w:rPr>
              <w:t>综合合价（元）</w:t>
            </w:r>
          </w:p>
        </w:tc>
      </w:tr>
      <w:tr w14:paraId="34F275B6">
        <w:tblPrEx>
          <w:tblCellMar>
            <w:top w:w="0" w:type="dxa"/>
            <w:left w:w="108" w:type="dxa"/>
            <w:bottom w:w="0" w:type="dxa"/>
            <w:right w:w="108" w:type="dxa"/>
          </w:tblCellMar>
        </w:tblPrEx>
        <w:trPr>
          <w:trHeight w:val="407" w:hRule="exact"/>
        </w:trPr>
        <w:tc>
          <w:tcPr>
            <w:tcW w:w="497" w:type="pct"/>
            <w:vMerge w:val="restart"/>
            <w:tcBorders>
              <w:top w:val="nil"/>
              <w:left w:val="single" w:color="000000" w:sz="8" w:space="0"/>
              <w:bottom w:val="single" w:color="000000" w:sz="8" w:space="0"/>
              <w:right w:val="single" w:color="000000" w:sz="8" w:space="0"/>
            </w:tcBorders>
            <w:shd w:val="clear" w:color="auto" w:fill="FFFFFF"/>
            <w:vAlign w:val="center"/>
          </w:tcPr>
          <w:p w14:paraId="1320DCD9">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地面</w:t>
            </w:r>
          </w:p>
          <w:p w14:paraId="4CEA4BA3">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铺设</w:t>
            </w:r>
          </w:p>
          <w:p w14:paraId="6C407C79">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部分</w:t>
            </w:r>
          </w:p>
        </w:tc>
        <w:tc>
          <w:tcPr>
            <w:tcW w:w="570" w:type="pct"/>
            <w:vMerge w:val="restart"/>
            <w:tcBorders>
              <w:top w:val="nil"/>
              <w:left w:val="nil"/>
              <w:bottom w:val="single" w:color="000000" w:sz="8" w:space="0"/>
              <w:right w:val="single" w:color="000000" w:sz="8" w:space="0"/>
            </w:tcBorders>
            <w:shd w:val="clear" w:color="auto" w:fill="FFFFFF"/>
            <w:vAlign w:val="center"/>
          </w:tcPr>
          <w:p w14:paraId="5B73AB3D">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耐腐蚀PVC</w:t>
            </w:r>
          </w:p>
          <w:p w14:paraId="57C1B8E5">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地板</w:t>
            </w:r>
          </w:p>
        </w:tc>
        <w:tc>
          <w:tcPr>
            <w:tcW w:w="2579" w:type="pct"/>
            <w:tcBorders>
              <w:top w:val="nil"/>
              <w:left w:val="nil"/>
              <w:bottom w:val="nil"/>
              <w:right w:val="single" w:color="000000" w:sz="8" w:space="0"/>
            </w:tcBorders>
            <w:shd w:val="clear" w:color="auto" w:fill="FFFFFF"/>
            <w:vAlign w:val="center"/>
          </w:tcPr>
          <w:p w14:paraId="0F6EC518">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材质：同质透芯卷材</w:t>
            </w:r>
          </w:p>
        </w:tc>
        <w:tc>
          <w:tcPr>
            <w:tcW w:w="413" w:type="pct"/>
            <w:vMerge w:val="restart"/>
            <w:tcBorders>
              <w:top w:val="nil"/>
              <w:left w:val="nil"/>
              <w:bottom w:val="single" w:color="000000" w:sz="8" w:space="0"/>
              <w:right w:val="single" w:color="000000" w:sz="8" w:space="0"/>
            </w:tcBorders>
            <w:shd w:val="clear" w:color="auto" w:fill="auto"/>
            <w:vAlign w:val="center"/>
          </w:tcPr>
          <w:p w14:paraId="252259A6">
            <w:pPr>
              <w:widowControl/>
              <w:jc w:val="center"/>
              <w:rPr>
                <w:rFonts w:hint="eastAsia" w:cs="宋体" w:asciiTheme="majorEastAsia" w:hAnsiTheme="majorEastAsia" w:eastAsiaTheme="majorEastAsia"/>
                <w:color w:val="000000"/>
                <w:kern w:val="0"/>
                <w:sz w:val="20"/>
                <w:lang w:val="en-US" w:eastAsia="zh-CN"/>
              </w:rPr>
            </w:pPr>
            <w:r>
              <w:rPr>
                <w:rFonts w:hint="eastAsia" w:cs="宋体" w:asciiTheme="majorEastAsia" w:hAnsiTheme="majorEastAsia" w:eastAsiaTheme="majorEastAsia"/>
                <w:color w:val="000000"/>
                <w:kern w:val="0"/>
                <w:sz w:val="20"/>
              </w:rPr>
              <w:t>平方</w:t>
            </w:r>
            <w:r>
              <w:rPr>
                <w:rFonts w:hint="eastAsia" w:cs="宋体" w:asciiTheme="majorEastAsia" w:hAnsiTheme="majorEastAsia" w:eastAsiaTheme="majorEastAsia"/>
                <w:color w:val="000000"/>
                <w:kern w:val="0"/>
                <w:sz w:val="20"/>
                <w:lang w:val="en-US" w:eastAsia="zh-CN"/>
              </w:rPr>
              <w:t>米</w:t>
            </w:r>
          </w:p>
        </w:tc>
        <w:tc>
          <w:tcPr>
            <w:tcW w:w="342" w:type="pct"/>
            <w:vMerge w:val="restart"/>
            <w:tcBorders>
              <w:top w:val="nil"/>
              <w:left w:val="nil"/>
              <w:bottom w:val="single" w:color="000000" w:sz="8" w:space="0"/>
              <w:right w:val="single" w:color="000000" w:sz="8" w:space="0"/>
            </w:tcBorders>
            <w:shd w:val="clear" w:color="auto" w:fill="auto"/>
            <w:vAlign w:val="center"/>
          </w:tcPr>
          <w:p w14:paraId="4A7BE1D4">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1200</w:t>
            </w:r>
          </w:p>
        </w:tc>
        <w:tc>
          <w:tcPr>
            <w:tcW w:w="298" w:type="pct"/>
            <w:vMerge w:val="restart"/>
            <w:tcBorders>
              <w:top w:val="nil"/>
              <w:left w:val="nil"/>
              <w:right w:val="single" w:color="000000" w:sz="8" w:space="0"/>
            </w:tcBorders>
            <w:shd w:val="clear" w:color="auto" w:fill="auto"/>
            <w:vAlign w:val="center"/>
          </w:tcPr>
          <w:p w14:paraId="51C7153A">
            <w:pPr>
              <w:widowControl/>
              <w:jc w:val="center"/>
              <w:rPr>
                <w:rFonts w:hint="eastAsia" w:cs="宋体" w:asciiTheme="majorEastAsia" w:hAnsiTheme="majorEastAsia" w:eastAsiaTheme="majorEastAsia"/>
                <w:color w:val="000000"/>
                <w:kern w:val="0"/>
                <w:sz w:val="20"/>
              </w:rPr>
            </w:pPr>
          </w:p>
        </w:tc>
        <w:tc>
          <w:tcPr>
            <w:tcW w:w="298" w:type="pct"/>
            <w:vMerge w:val="restart"/>
            <w:tcBorders>
              <w:top w:val="nil"/>
              <w:left w:val="nil"/>
              <w:right w:val="single" w:color="000000" w:sz="8" w:space="0"/>
            </w:tcBorders>
            <w:shd w:val="clear" w:color="auto" w:fill="auto"/>
            <w:vAlign w:val="center"/>
          </w:tcPr>
          <w:p w14:paraId="2F395650">
            <w:pPr>
              <w:widowControl/>
              <w:jc w:val="center"/>
              <w:rPr>
                <w:rFonts w:hint="eastAsia" w:cs="宋体" w:asciiTheme="majorEastAsia" w:hAnsiTheme="majorEastAsia" w:eastAsiaTheme="majorEastAsia"/>
                <w:color w:val="000000"/>
                <w:kern w:val="0"/>
                <w:sz w:val="20"/>
              </w:rPr>
            </w:pPr>
          </w:p>
        </w:tc>
      </w:tr>
      <w:tr w14:paraId="2B573E34">
        <w:tblPrEx>
          <w:tblCellMar>
            <w:top w:w="0" w:type="dxa"/>
            <w:left w:w="108" w:type="dxa"/>
            <w:bottom w:w="0" w:type="dxa"/>
            <w:right w:w="108" w:type="dxa"/>
          </w:tblCellMar>
        </w:tblPrEx>
        <w:trPr>
          <w:trHeight w:val="285" w:hRule="exact"/>
        </w:trPr>
        <w:tc>
          <w:tcPr>
            <w:tcW w:w="497" w:type="pct"/>
            <w:vMerge w:val="continue"/>
            <w:tcBorders>
              <w:top w:val="nil"/>
              <w:left w:val="single" w:color="000000" w:sz="8" w:space="0"/>
              <w:bottom w:val="single" w:color="000000" w:sz="8" w:space="0"/>
              <w:right w:val="single" w:color="000000" w:sz="8" w:space="0"/>
            </w:tcBorders>
            <w:vAlign w:val="center"/>
          </w:tcPr>
          <w:p w14:paraId="30C51232">
            <w:pPr>
              <w:widowControl/>
              <w:jc w:val="left"/>
              <w:rPr>
                <w:rFonts w:hint="eastAsia" w:cs="宋体" w:asciiTheme="majorEastAsia" w:hAnsiTheme="majorEastAsia" w:eastAsiaTheme="majorEastAsia"/>
                <w:color w:val="000000"/>
                <w:kern w:val="0"/>
                <w:sz w:val="20"/>
              </w:rPr>
            </w:pPr>
          </w:p>
        </w:tc>
        <w:tc>
          <w:tcPr>
            <w:tcW w:w="570" w:type="pct"/>
            <w:vMerge w:val="continue"/>
            <w:tcBorders>
              <w:top w:val="nil"/>
              <w:left w:val="nil"/>
              <w:bottom w:val="single" w:color="000000" w:sz="8" w:space="0"/>
              <w:right w:val="single" w:color="000000" w:sz="8" w:space="0"/>
            </w:tcBorders>
            <w:vAlign w:val="center"/>
          </w:tcPr>
          <w:p w14:paraId="6E0D5D1D">
            <w:pPr>
              <w:widowControl/>
              <w:jc w:val="left"/>
              <w:rPr>
                <w:rFonts w:hint="eastAsia" w:cs="宋体" w:asciiTheme="majorEastAsia" w:hAnsiTheme="majorEastAsia" w:eastAsiaTheme="majorEastAsia"/>
                <w:color w:val="000000"/>
                <w:kern w:val="0"/>
                <w:sz w:val="20"/>
              </w:rPr>
            </w:pPr>
          </w:p>
        </w:tc>
        <w:tc>
          <w:tcPr>
            <w:tcW w:w="2579" w:type="pct"/>
            <w:tcBorders>
              <w:top w:val="nil"/>
              <w:left w:val="nil"/>
              <w:bottom w:val="nil"/>
              <w:right w:val="single" w:color="000000" w:sz="8" w:space="0"/>
            </w:tcBorders>
            <w:shd w:val="clear" w:color="auto" w:fill="FFFFFF"/>
            <w:vAlign w:val="center"/>
          </w:tcPr>
          <w:p w14:paraId="7253D298">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规格：2mm PVC卷材地板</w:t>
            </w:r>
          </w:p>
        </w:tc>
        <w:tc>
          <w:tcPr>
            <w:tcW w:w="413" w:type="pct"/>
            <w:vMerge w:val="continue"/>
            <w:tcBorders>
              <w:top w:val="nil"/>
              <w:left w:val="nil"/>
              <w:bottom w:val="single" w:color="000000" w:sz="8" w:space="0"/>
              <w:right w:val="single" w:color="000000" w:sz="8" w:space="0"/>
            </w:tcBorders>
            <w:vAlign w:val="center"/>
          </w:tcPr>
          <w:p w14:paraId="33B5805D">
            <w:pPr>
              <w:widowControl/>
              <w:jc w:val="left"/>
              <w:rPr>
                <w:rFonts w:hint="eastAsia" w:cs="宋体" w:asciiTheme="majorEastAsia" w:hAnsiTheme="majorEastAsia" w:eastAsiaTheme="majorEastAsia"/>
                <w:color w:val="000000"/>
                <w:kern w:val="0"/>
                <w:sz w:val="20"/>
              </w:rPr>
            </w:pPr>
          </w:p>
        </w:tc>
        <w:tc>
          <w:tcPr>
            <w:tcW w:w="342" w:type="pct"/>
            <w:vMerge w:val="continue"/>
            <w:tcBorders>
              <w:top w:val="nil"/>
              <w:left w:val="nil"/>
              <w:bottom w:val="single" w:color="000000" w:sz="8" w:space="0"/>
              <w:right w:val="single" w:color="000000" w:sz="8" w:space="0"/>
            </w:tcBorders>
            <w:vAlign w:val="center"/>
          </w:tcPr>
          <w:p w14:paraId="4669735F">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right w:val="single" w:color="000000" w:sz="8" w:space="0"/>
            </w:tcBorders>
            <w:vAlign w:val="center"/>
          </w:tcPr>
          <w:p w14:paraId="2DAAD3A3">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right w:val="single" w:color="000000" w:sz="8" w:space="0"/>
            </w:tcBorders>
            <w:vAlign w:val="center"/>
          </w:tcPr>
          <w:p w14:paraId="5FF5AA28">
            <w:pPr>
              <w:widowControl/>
              <w:jc w:val="left"/>
              <w:rPr>
                <w:rFonts w:hint="eastAsia" w:cs="宋体" w:asciiTheme="majorEastAsia" w:hAnsiTheme="majorEastAsia" w:eastAsiaTheme="majorEastAsia"/>
                <w:color w:val="000000"/>
                <w:kern w:val="0"/>
                <w:sz w:val="20"/>
              </w:rPr>
            </w:pPr>
          </w:p>
        </w:tc>
      </w:tr>
      <w:tr w14:paraId="1FD36CD6">
        <w:tblPrEx>
          <w:tblCellMar>
            <w:top w:w="0" w:type="dxa"/>
            <w:left w:w="108" w:type="dxa"/>
            <w:bottom w:w="0" w:type="dxa"/>
            <w:right w:w="108" w:type="dxa"/>
          </w:tblCellMar>
        </w:tblPrEx>
        <w:trPr>
          <w:trHeight w:val="567" w:hRule="exact"/>
        </w:trPr>
        <w:tc>
          <w:tcPr>
            <w:tcW w:w="497" w:type="pct"/>
            <w:vMerge w:val="continue"/>
            <w:tcBorders>
              <w:top w:val="nil"/>
              <w:left w:val="single" w:color="000000" w:sz="8" w:space="0"/>
              <w:bottom w:val="single" w:color="000000" w:sz="8" w:space="0"/>
              <w:right w:val="single" w:color="000000" w:sz="8" w:space="0"/>
            </w:tcBorders>
            <w:vAlign w:val="center"/>
          </w:tcPr>
          <w:p w14:paraId="550EC354">
            <w:pPr>
              <w:widowControl/>
              <w:jc w:val="left"/>
              <w:rPr>
                <w:rFonts w:hint="eastAsia" w:cs="宋体" w:asciiTheme="majorEastAsia" w:hAnsiTheme="majorEastAsia" w:eastAsiaTheme="majorEastAsia"/>
                <w:color w:val="000000"/>
                <w:kern w:val="0"/>
                <w:sz w:val="20"/>
              </w:rPr>
            </w:pPr>
          </w:p>
        </w:tc>
        <w:tc>
          <w:tcPr>
            <w:tcW w:w="570" w:type="pct"/>
            <w:vMerge w:val="continue"/>
            <w:tcBorders>
              <w:top w:val="nil"/>
              <w:left w:val="nil"/>
              <w:bottom w:val="single" w:color="000000" w:sz="8" w:space="0"/>
              <w:right w:val="single" w:color="000000" w:sz="8" w:space="0"/>
            </w:tcBorders>
            <w:vAlign w:val="center"/>
          </w:tcPr>
          <w:p w14:paraId="3ACC5DA0">
            <w:pPr>
              <w:widowControl/>
              <w:jc w:val="left"/>
              <w:rPr>
                <w:rFonts w:hint="eastAsia" w:cs="宋体" w:asciiTheme="majorEastAsia" w:hAnsiTheme="majorEastAsia" w:eastAsiaTheme="majorEastAsia"/>
                <w:color w:val="000000"/>
                <w:kern w:val="0"/>
                <w:sz w:val="20"/>
              </w:rPr>
            </w:pPr>
          </w:p>
        </w:tc>
        <w:tc>
          <w:tcPr>
            <w:tcW w:w="2579" w:type="pct"/>
            <w:tcBorders>
              <w:top w:val="nil"/>
              <w:left w:val="nil"/>
              <w:bottom w:val="single" w:color="000000" w:sz="8" w:space="0"/>
              <w:right w:val="single" w:color="000000" w:sz="8" w:space="0"/>
            </w:tcBorders>
            <w:shd w:val="clear" w:color="auto" w:fill="FFFFFF"/>
            <w:vAlign w:val="center"/>
          </w:tcPr>
          <w:p w14:paraId="323B30A1">
            <w:pPr>
              <w:widowControl/>
              <w:jc w:val="center"/>
              <w:rPr>
                <w:rFonts w:hint="eastAsia" w:cs="宋体" w:asciiTheme="majorEastAsia" w:hAnsiTheme="majorEastAsia" w:eastAsiaTheme="majorEastAsia"/>
                <w:color w:val="000000"/>
                <w:kern w:val="0"/>
                <w:sz w:val="20"/>
              </w:rPr>
            </w:pPr>
            <w:r>
              <w:rPr>
                <w:rFonts w:hint="eastAsia" w:cs="宋体" w:asciiTheme="majorEastAsia" w:hAnsiTheme="majorEastAsia" w:eastAsiaTheme="majorEastAsia"/>
                <w:color w:val="000000"/>
                <w:kern w:val="0"/>
                <w:sz w:val="20"/>
              </w:rPr>
              <w:t>含基层处理、水泥自流平、涂刷界面剂、压线条同色、PVC焊条焊接、安装</w:t>
            </w:r>
          </w:p>
        </w:tc>
        <w:tc>
          <w:tcPr>
            <w:tcW w:w="413" w:type="pct"/>
            <w:vMerge w:val="continue"/>
            <w:tcBorders>
              <w:top w:val="nil"/>
              <w:left w:val="nil"/>
              <w:bottom w:val="single" w:color="000000" w:sz="8" w:space="0"/>
              <w:right w:val="single" w:color="000000" w:sz="8" w:space="0"/>
            </w:tcBorders>
            <w:vAlign w:val="center"/>
          </w:tcPr>
          <w:p w14:paraId="43A7879F">
            <w:pPr>
              <w:widowControl/>
              <w:jc w:val="left"/>
              <w:rPr>
                <w:rFonts w:hint="eastAsia" w:cs="宋体" w:asciiTheme="majorEastAsia" w:hAnsiTheme="majorEastAsia" w:eastAsiaTheme="majorEastAsia"/>
                <w:color w:val="000000"/>
                <w:kern w:val="0"/>
                <w:sz w:val="20"/>
              </w:rPr>
            </w:pPr>
          </w:p>
        </w:tc>
        <w:tc>
          <w:tcPr>
            <w:tcW w:w="342" w:type="pct"/>
            <w:vMerge w:val="continue"/>
            <w:tcBorders>
              <w:top w:val="nil"/>
              <w:left w:val="nil"/>
              <w:bottom w:val="single" w:color="000000" w:sz="8" w:space="0"/>
              <w:right w:val="single" w:color="000000" w:sz="8" w:space="0"/>
            </w:tcBorders>
            <w:vAlign w:val="center"/>
          </w:tcPr>
          <w:p w14:paraId="5DB85725">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bottom w:val="single" w:color="000000" w:sz="8" w:space="0"/>
              <w:right w:val="single" w:color="000000" w:sz="8" w:space="0"/>
            </w:tcBorders>
            <w:vAlign w:val="center"/>
          </w:tcPr>
          <w:p w14:paraId="4AC773A2">
            <w:pPr>
              <w:widowControl/>
              <w:jc w:val="left"/>
              <w:rPr>
                <w:rFonts w:hint="eastAsia" w:cs="宋体" w:asciiTheme="majorEastAsia" w:hAnsiTheme="majorEastAsia" w:eastAsiaTheme="majorEastAsia"/>
                <w:color w:val="000000"/>
                <w:kern w:val="0"/>
                <w:sz w:val="20"/>
              </w:rPr>
            </w:pPr>
          </w:p>
        </w:tc>
        <w:tc>
          <w:tcPr>
            <w:tcW w:w="298" w:type="pct"/>
            <w:vMerge w:val="continue"/>
            <w:tcBorders>
              <w:left w:val="nil"/>
              <w:bottom w:val="single" w:color="000000" w:sz="8" w:space="0"/>
              <w:right w:val="single" w:color="000000" w:sz="8" w:space="0"/>
            </w:tcBorders>
            <w:vAlign w:val="center"/>
          </w:tcPr>
          <w:p w14:paraId="00ABDF0D">
            <w:pPr>
              <w:widowControl/>
              <w:jc w:val="left"/>
              <w:rPr>
                <w:rFonts w:hint="eastAsia" w:cs="宋体" w:asciiTheme="majorEastAsia" w:hAnsiTheme="majorEastAsia" w:eastAsiaTheme="majorEastAsia"/>
                <w:color w:val="000000"/>
                <w:kern w:val="0"/>
                <w:sz w:val="20"/>
              </w:rPr>
            </w:pPr>
          </w:p>
        </w:tc>
      </w:tr>
    </w:tbl>
    <w:p w14:paraId="5A85475C">
      <w:pPr>
        <w:spacing w:line="360" w:lineRule="auto"/>
        <w:ind w:firstLine="480" w:firstLineChars="200"/>
        <w:rPr>
          <w:rFonts w:hint="eastAsia" w:ascii="宋体" w:hAnsi="宋体" w:eastAsia="宋体" w:cs="宋体"/>
          <w:color w:val="000000"/>
          <w:sz w:val="24"/>
          <w:szCs w:val="24"/>
        </w:rPr>
      </w:pPr>
    </w:p>
    <w:p w14:paraId="43310E8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C073F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4D212DF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综合</w:t>
      </w:r>
      <w:r>
        <w:rPr>
          <w:rFonts w:hint="eastAsia" w:ascii="宋体" w:hAnsi="宋体" w:eastAsia="宋体" w:cs="宋体"/>
          <w:color w:val="000000"/>
          <w:sz w:val="24"/>
          <w:szCs w:val="24"/>
        </w:rPr>
        <w:t>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0CECA609">
      <w:pPr>
        <w:spacing w:line="360" w:lineRule="auto"/>
        <w:ind w:firstLine="480" w:firstLineChars="200"/>
        <w:rPr>
          <w:rFonts w:hint="eastAsia" w:ascii="宋体" w:hAnsi="宋体" w:eastAsia="宋体" w:cs="宋体"/>
          <w:color w:val="000000"/>
          <w:sz w:val="24"/>
          <w:szCs w:val="24"/>
        </w:rPr>
      </w:pPr>
    </w:p>
    <w:p w14:paraId="6DAA6A2E">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3DB8486B">
      <w:pPr>
        <w:pStyle w:val="6"/>
        <w:rPr>
          <w:rFonts w:hint="eastAsia" w:ascii="宋体" w:hAnsi="宋体" w:eastAsia="宋体" w:cs="宋体"/>
          <w:color w:val="000000"/>
          <w:sz w:val="24"/>
          <w:szCs w:val="24"/>
        </w:rPr>
      </w:pPr>
      <w:bookmarkStart w:id="35" w:name="_Toc29251"/>
      <w:bookmarkStart w:id="36" w:name="_Toc6818"/>
      <w:r>
        <w:rPr>
          <w:rFonts w:hint="eastAsia" w:ascii="宋体" w:hAnsi="宋体" w:eastAsia="宋体" w:cs="宋体"/>
          <w:color w:val="000000"/>
          <w:sz w:val="24"/>
          <w:szCs w:val="24"/>
        </w:rPr>
        <w:t>附件四</w:t>
      </w:r>
      <w:bookmarkEnd w:id="35"/>
    </w:p>
    <w:p w14:paraId="61BF0550">
      <w:pPr>
        <w:keepNext/>
        <w:keepLines/>
        <w:widowControl/>
        <w:adjustRightInd w:val="0"/>
        <w:snapToGrid w:val="0"/>
        <w:spacing w:line="360" w:lineRule="auto"/>
        <w:jc w:val="center"/>
        <w:rPr>
          <w:rFonts w:hint="eastAsia" w:ascii="仿宋" w:hAnsi="仿宋" w:eastAsia="仿宋" w:cs="仿宋"/>
          <w:b/>
          <w:sz w:val="32"/>
          <w:szCs w:val="32"/>
        </w:rPr>
      </w:pPr>
      <w:bookmarkStart w:id="37" w:name="_Toc72431438"/>
      <w:bookmarkStart w:id="38" w:name="_Toc72431762"/>
      <w:r>
        <w:rPr>
          <w:rFonts w:hint="eastAsia" w:ascii="仿宋" w:hAnsi="仿宋" w:eastAsia="仿宋" w:cs="仿宋"/>
          <w:b/>
          <w:sz w:val="32"/>
          <w:szCs w:val="32"/>
        </w:rPr>
        <w:t>书面承诺函</w:t>
      </w:r>
      <w:bookmarkEnd w:id="37"/>
      <w:bookmarkEnd w:id="38"/>
    </w:p>
    <w:p w14:paraId="783BC319">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27B88BA5">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6DD212A1">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2F219497">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364E2020">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6E3339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E226D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49C5B2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405ABD5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741E7F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1BD8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34597EE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686627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3206538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37C06AAB">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6BC8F42A">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74BEB7E">
      <w:pPr>
        <w:pStyle w:val="6"/>
        <w:rPr>
          <w:rFonts w:hint="eastAsia" w:ascii="宋体" w:hAnsi="宋体" w:eastAsia="宋体" w:cs="宋体"/>
          <w:color w:val="000000"/>
          <w:sz w:val="24"/>
          <w:szCs w:val="24"/>
        </w:rPr>
      </w:pPr>
      <w:bookmarkStart w:id="39" w:name="_Toc13447"/>
      <w:r>
        <w:rPr>
          <w:rFonts w:hint="eastAsia" w:ascii="宋体" w:hAnsi="宋体" w:eastAsia="宋体" w:cs="宋体"/>
          <w:color w:val="000000"/>
          <w:sz w:val="24"/>
          <w:szCs w:val="24"/>
        </w:rPr>
        <w:t>附件</w:t>
      </w:r>
      <w:bookmarkEnd w:id="36"/>
      <w:r>
        <w:rPr>
          <w:rFonts w:hint="eastAsia" w:ascii="宋体" w:hAnsi="宋体" w:eastAsia="宋体" w:cs="宋体"/>
          <w:color w:val="000000"/>
          <w:sz w:val="24"/>
          <w:szCs w:val="24"/>
        </w:rPr>
        <w:t>五</w:t>
      </w:r>
      <w:bookmarkEnd w:id="39"/>
    </w:p>
    <w:p w14:paraId="5695FA8B">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52B9820F">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31BF51F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13B751E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7ACD21F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2A9C0866">
      <w:pPr>
        <w:spacing w:line="360" w:lineRule="auto"/>
        <w:rPr>
          <w:rFonts w:hint="eastAsia" w:ascii="宋体" w:hAnsi="宋体" w:eastAsia="宋体" w:cs="宋体"/>
          <w:color w:val="000000"/>
          <w:sz w:val="24"/>
          <w:szCs w:val="24"/>
        </w:rPr>
      </w:pPr>
    </w:p>
    <w:p w14:paraId="3EFAEF9F">
      <w:pPr>
        <w:rPr>
          <w:rFonts w:hint="eastAsia" w:ascii="宋体" w:hAnsi="宋体" w:eastAsia="宋体" w:cs="宋体"/>
          <w:color w:val="000000"/>
        </w:rPr>
      </w:pPr>
    </w:p>
    <w:p w14:paraId="3BC773F0">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7725">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39B7A9CC">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6484D">
    <w:pPr>
      <w:pStyle w:val="20"/>
      <w:framePr w:wrap="around" w:vAnchor="text" w:hAnchor="margin" w:xAlign="center" w:y="1"/>
      <w:rPr>
        <w:rStyle w:val="33"/>
        <w:rFonts w:hint="eastAsia"/>
      </w:rPr>
    </w:pPr>
    <w:r>
      <w:fldChar w:fldCharType="begin"/>
    </w:r>
    <w:r>
      <w:rPr>
        <w:rStyle w:val="33"/>
      </w:rPr>
      <w:instrText xml:space="preserve">PAGE  </w:instrText>
    </w:r>
    <w:r>
      <w:fldChar w:fldCharType="separate"/>
    </w:r>
    <w:r>
      <w:rPr>
        <w:rStyle w:val="33"/>
      </w:rPr>
      <w:t>9</w:t>
    </w:r>
    <w:r>
      <w:fldChar w:fldCharType="end"/>
    </w:r>
  </w:p>
  <w:p w14:paraId="7CF099F8">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A4C0">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37822966">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48FD">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48A6">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1584">
    <w:pPr>
      <w:pStyle w:val="21"/>
      <w:framePr w:wrap="around" w:vAnchor="text" w:hAnchor="margin" w:xAlign="right" w:y="1"/>
      <w:rPr>
        <w:rStyle w:val="33"/>
        <w:rFonts w:hint="eastAsia"/>
      </w:rPr>
    </w:pPr>
    <w:r>
      <w:fldChar w:fldCharType="begin"/>
    </w:r>
    <w:r>
      <w:rPr>
        <w:rStyle w:val="33"/>
      </w:rPr>
      <w:instrText xml:space="preserve">PAGE  </w:instrText>
    </w:r>
    <w:r>
      <w:rPr>
        <w:rFonts w:hint="eastAsia"/>
      </w:rPr>
      <w:fldChar w:fldCharType="separate"/>
    </w:r>
    <w:r>
      <w:fldChar w:fldCharType="end"/>
    </w:r>
  </w:p>
  <w:p w14:paraId="0A2F66C3">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4804"/>
    <w:rsid w:val="000418E9"/>
    <w:rsid w:val="000439DB"/>
    <w:rsid w:val="00043EAA"/>
    <w:rsid w:val="00047BFA"/>
    <w:rsid w:val="00050909"/>
    <w:rsid w:val="000519C4"/>
    <w:rsid w:val="00052E85"/>
    <w:rsid w:val="000571F8"/>
    <w:rsid w:val="00057CF7"/>
    <w:rsid w:val="00061A91"/>
    <w:rsid w:val="0006215B"/>
    <w:rsid w:val="0006441E"/>
    <w:rsid w:val="000664CC"/>
    <w:rsid w:val="00072F43"/>
    <w:rsid w:val="00096E65"/>
    <w:rsid w:val="000974F8"/>
    <w:rsid w:val="000B4002"/>
    <w:rsid w:val="000D6911"/>
    <w:rsid w:val="000D6B7E"/>
    <w:rsid w:val="000E15A5"/>
    <w:rsid w:val="000E2082"/>
    <w:rsid w:val="000E6050"/>
    <w:rsid w:val="000F0B0F"/>
    <w:rsid w:val="00100925"/>
    <w:rsid w:val="001103F0"/>
    <w:rsid w:val="001228F1"/>
    <w:rsid w:val="00125CDA"/>
    <w:rsid w:val="00134CC9"/>
    <w:rsid w:val="00135E58"/>
    <w:rsid w:val="00137747"/>
    <w:rsid w:val="00144395"/>
    <w:rsid w:val="00154885"/>
    <w:rsid w:val="0015654F"/>
    <w:rsid w:val="001640A4"/>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B66EA"/>
    <w:rsid w:val="001C055E"/>
    <w:rsid w:val="001D0A33"/>
    <w:rsid w:val="001D160D"/>
    <w:rsid w:val="001D2E1D"/>
    <w:rsid w:val="001D3030"/>
    <w:rsid w:val="001E490D"/>
    <w:rsid w:val="001E6BFB"/>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317B"/>
    <w:rsid w:val="00277478"/>
    <w:rsid w:val="002869FB"/>
    <w:rsid w:val="002A084C"/>
    <w:rsid w:val="002A187D"/>
    <w:rsid w:val="002A4225"/>
    <w:rsid w:val="002A4354"/>
    <w:rsid w:val="002A5B01"/>
    <w:rsid w:val="002B78A2"/>
    <w:rsid w:val="002C69D0"/>
    <w:rsid w:val="002D3FCB"/>
    <w:rsid w:val="002E0986"/>
    <w:rsid w:val="002F0E13"/>
    <w:rsid w:val="002F1F18"/>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6697"/>
    <w:rsid w:val="00327A9E"/>
    <w:rsid w:val="00333D55"/>
    <w:rsid w:val="00334ECF"/>
    <w:rsid w:val="003437BB"/>
    <w:rsid w:val="00355C67"/>
    <w:rsid w:val="003564F3"/>
    <w:rsid w:val="003709DC"/>
    <w:rsid w:val="00374777"/>
    <w:rsid w:val="003755F7"/>
    <w:rsid w:val="00375E4D"/>
    <w:rsid w:val="0037694C"/>
    <w:rsid w:val="00377056"/>
    <w:rsid w:val="0037719B"/>
    <w:rsid w:val="00384F8C"/>
    <w:rsid w:val="0039173F"/>
    <w:rsid w:val="00393236"/>
    <w:rsid w:val="00394623"/>
    <w:rsid w:val="00396CB7"/>
    <w:rsid w:val="003A1B98"/>
    <w:rsid w:val="003A6B5C"/>
    <w:rsid w:val="003B082C"/>
    <w:rsid w:val="003B567A"/>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41E50"/>
    <w:rsid w:val="0045469D"/>
    <w:rsid w:val="00454A54"/>
    <w:rsid w:val="00455811"/>
    <w:rsid w:val="00461D47"/>
    <w:rsid w:val="00461DD3"/>
    <w:rsid w:val="004645CA"/>
    <w:rsid w:val="00464D7A"/>
    <w:rsid w:val="00470451"/>
    <w:rsid w:val="004711B8"/>
    <w:rsid w:val="004759FF"/>
    <w:rsid w:val="00475D73"/>
    <w:rsid w:val="00483469"/>
    <w:rsid w:val="004838FD"/>
    <w:rsid w:val="004A76C5"/>
    <w:rsid w:val="004B1E72"/>
    <w:rsid w:val="004B2DBA"/>
    <w:rsid w:val="004C3614"/>
    <w:rsid w:val="004C4C3C"/>
    <w:rsid w:val="004C7454"/>
    <w:rsid w:val="004D3EB5"/>
    <w:rsid w:val="004D7A06"/>
    <w:rsid w:val="004E357D"/>
    <w:rsid w:val="004E519E"/>
    <w:rsid w:val="004F69F9"/>
    <w:rsid w:val="00510B56"/>
    <w:rsid w:val="0051154B"/>
    <w:rsid w:val="005122D2"/>
    <w:rsid w:val="00512A7C"/>
    <w:rsid w:val="0051463D"/>
    <w:rsid w:val="00520AA3"/>
    <w:rsid w:val="005238AE"/>
    <w:rsid w:val="005239C4"/>
    <w:rsid w:val="00527575"/>
    <w:rsid w:val="00531FE1"/>
    <w:rsid w:val="00534007"/>
    <w:rsid w:val="00544C15"/>
    <w:rsid w:val="00554C3E"/>
    <w:rsid w:val="0055686C"/>
    <w:rsid w:val="00557AC5"/>
    <w:rsid w:val="00560BDF"/>
    <w:rsid w:val="005639BF"/>
    <w:rsid w:val="00564AA2"/>
    <w:rsid w:val="005653F1"/>
    <w:rsid w:val="00571DF9"/>
    <w:rsid w:val="0058179E"/>
    <w:rsid w:val="00581BCB"/>
    <w:rsid w:val="0058616A"/>
    <w:rsid w:val="00595CD6"/>
    <w:rsid w:val="00596397"/>
    <w:rsid w:val="005A0E1F"/>
    <w:rsid w:val="005A11CB"/>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5483"/>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754B4"/>
    <w:rsid w:val="00882521"/>
    <w:rsid w:val="008A22B0"/>
    <w:rsid w:val="008A2ED1"/>
    <w:rsid w:val="008A5181"/>
    <w:rsid w:val="008B1074"/>
    <w:rsid w:val="008B4730"/>
    <w:rsid w:val="008B614A"/>
    <w:rsid w:val="008C03BA"/>
    <w:rsid w:val="008C2822"/>
    <w:rsid w:val="008D0DEE"/>
    <w:rsid w:val="008D26A6"/>
    <w:rsid w:val="008D31CA"/>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55EBA"/>
    <w:rsid w:val="0095656A"/>
    <w:rsid w:val="009610C8"/>
    <w:rsid w:val="0097261B"/>
    <w:rsid w:val="009745E3"/>
    <w:rsid w:val="00981414"/>
    <w:rsid w:val="0098194A"/>
    <w:rsid w:val="009820AC"/>
    <w:rsid w:val="00982B53"/>
    <w:rsid w:val="00983C92"/>
    <w:rsid w:val="009852C0"/>
    <w:rsid w:val="00985C6E"/>
    <w:rsid w:val="00987D3F"/>
    <w:rsid w:val="00990F0A"/>
    <w:rsid w:val="009A4CEB"/>
    <w:rsid w:val="009A7279"/>
    <w:rsid w:val="009B465F"/>
    <w:rsid w:val="009B65E8"/>
    <w:rsid w:val="009B68C8"/>
    <w:rsid w:val="009C4282"/>
    <w:rsid w:val="009C4514"/>
    <w:rsid w:val="009C4AFB"/>
    <w:rsid w:val="009D5123"/>
    <w:rsid w:val="009D793D"/>
    <w:rsid w:val="009E0B27"/>
    <w:rsid w:val="009F2DA3"/>
    <w:rsid w:val="00A04E1D"/>
    <w:rsid w:val="00A059A0"/>
    <w:rsid w:val="00A127F7"/>
    <w:rsid w:val="00A13BC5"/>
    <w:rsid w:val="00A13E3F"/>
    <w:rsid w:val="00A16C67"/>
    <w:rsid w:val="00A239AC"/>
    <w:rsid w:val="00A23BFE"/>
    <w:rsid w:val="00A251EF"/>
    <w:rsid w:val="00A27A5B"/>
    <w:rsid w:val="00A30DB2"/>
    <w:rsid w:val="00A32BFA"/>
    <w:rsid w:val="00A431F8"/>
    <w:rsid w:val="00A47C96"/>
    <w:rsid w:val="00A5789A"/>
    <w:rsid w:val="00A6269F"/>
    <w:rsid w:val="00A65C23"/>
    <w:rsid w:val="00A667E2"/>
    <w:rsid w:val="00A72D83"/>
    <w:rsid w:val="00A75C72"/>
    <w:rsid w:val="00A847F4"/>
    <w:rsid w:val="00AA3989"/>
    <w:rsid w:val="00AB2756"/>
    <w:rsid w:val="00AB288B"/>
    <w:rsid w:val="00AC37D2"/>
    <w:rsid w:val="00AC448A"/>
    <w:rsid w:val="00AE755D"/>
    <w:rsid w:val="00AF01C4"/>
    <w:rsid w:val="00AF0CFA"/>
    <w:rsid w:val="00AF1FD7"/>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C06A52"/>
    <w:rsid w:val="00C146C1"/>
    <w:rsid w:val="00C17763"/>
    <w:rsid w:val="00C20A6B"/>
    <w:rsid w:val="00C2492E"/>
    <w:rsid w:val="00C319B6"/>
    <w:rsid w:val="00C338DB"/>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8685F"/>
    <w:rsid w:val="00D94B93"/>
    <w:rsid w:val="00DA0729"/>
    <w:rsid w:val="00DB02DD"/>
    <w:rsid w:val="00DB164D"/>
    <w:rsid w:val="00DB2A38"/>
    <w:rsid w:val="00DC06FE"/>
    <w:rsid w:val="00DC0C5B"/>
    <w:rsid w:val="00DC1969"/>
    <w:rsid w:val="00DC1BB9"/>
    <w:rsid w:val="00DC2A90"/>
    <w:rsid w:val="00DC2AE6"/>
    <w:rsid w:val="00DC34E8"/>
    <w:rsid w:val="00DC4815"/>
    <w:rsid w:val="00DD329D"/>
    <w:rsid w:val="00DD56E6"/>
    <w:rsid w:val="00DE39E5"/>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09D"/>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549C"/>
    <w:rsid w:val="00EF696E"/>
    <w:rsid w:val="00F01B71"/>
    <w:rsid w:val="00F03A89"/>
    <w:rsid w:val="00F03E0D"/>
    <w:rsid w:val="00F07399"/>
    <w:rsid w:val="00F113F8"/>
    <w:rsid w:val="00F12524"/>
    <w:rsid w:val="00F12D8F"/>
    <w:rsid w:val="00F24AB6"/>
    <w:rsid w:val="00F30CEB"/>
    <w:rsid w:val="00F33E7B"/>
    <w:rsid w:val="00F34561"/>
    <w:rsid w:val="00F45B23"/>
    <w:rsid w:val="00F45BB4"/>
    <w:rsid w:val="00F512C6"/>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A4128"/>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AC3C61"/>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4B3013"/>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817959"/>
    <w:rsid w:val="76E8336D"/>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7"/>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38"/>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39"/>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0"/>
    <w:qFormat/>
    <w:uiPriority w:val="0"/>
    <w:pPr>
      <w:tabs>
        <w:tab w:val="center" w:pos="4153"/>
        <w:tab w:val="right" w:pos="8306"/>
      </w:tabs>
      <w:snapToGrid w:val="0"/>
      <w:jc w:val="left"/>
    </w:pPr>
    <w:rPr>
      <w:sz w:val="18"/>
      <w:szCs w:val="18"/>
    </w:rPr>
  </w:style>
  <w:style w:type="paragraph" w:styleId="21">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Body Text First Indent 2"/>
    <w:basedOn w:val="11"/>
    <w:next w:val="1"/>
    <w:qFormat/>
    <w:uiPriority w:val="0"/>
    <w:pPr>
      <w:spacing w:after="120"/>
      <w:ind w:left="420" w:leftChars="200" w:firstLine="200"/>
    </w:pPr>
    <w:rPr>
      <w:sz w:val="21"/>
    </w:rPr>
  </w:style>
  <w:style w:type="character" w:styleId="32">
    <w:name w:val="Strong"/>
    <w:qFormat/>
    <w:uiPriority w:val="22"/>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customStyle="1" w:styleId="37">
    <w:name w:val="标题 1 字符"/>
    <w:link w:val="4"/>
    <w:qFormat/>
    <w:uiPriority w:val="0"/>
    <w:rPr>
      <w:rFonts w:eastAsia="宋体"/>
      <w:kern w:val="2"/>
      <w:sz w:val="28"/>
      <w:szCs w:val="24"/>
      <w:lang w:val="en-US" w:eastAsia="zh-CN" w:bidi="ar-SA"/>
    </w:rPr>
  </w:style>
  <w:style w:type="character" w:customStyle="1" w:styleId="38">
    <w:name w:val="批注文字 字符"/>
    <w:link w:val="10"/>
    <w:qFormat/>
    <w:uiPriority w:val="0"/>
    <w:rPr>
      <w:rFonts w:eastAsia="宋体"/>
      <w:kern w:val="2"/>
      <w:sz w:val="21"/>
      <w:lang w:val="en-US" w:eastAsia="zh-CN" w:bidi="ar-SA"/>
    </w:rPr>
  </w:style>
  <w:style w:type="character" w:customStyle="1" w:styleId="39">
    <w:name w:val="日期 字符"/>
    <w:link w:val="17"/>
    <w:qFormat/>
    <w:uiPriority w:val="0"/>
    <w:rPr>
      <w:rFonts w:ascii="Arial" w:hAnsi="Arial" w:eastAsia="楷体_GB2312"/>
      <w:kern w:val="2"/>
      <w:sz w:val="28"/>
      <w:lang w:bidi="ar-SA"/>
    </w:rPr>
  </w:style>
  <w:style w:type="character" w:customStyle="1" w:styleId="40">
    <w:name w:val="页脚 字符"/>
    <w:link w:val="20"/>
    <w:qFormat/>
    <w:uiPriority w:val="0"/>
    <w:rPr>
      <w:kern w:val="2"/>
      <w:sz w:val="18"/>
      <w:szCs w:val="18"/>
    </w:rPr>
  </w:style>
  <w:style w:type="character" w:customStyle="1" w:styleId="41">
    <w:name w:val="页眉 字符"/>
    <w:link w:val="21"/>
    <w:qFormat/>
    <w:uiPriority w:val="99"/>
    <w:rPr>
      <w:kern w:val="2"/>
      <w:sz w:val="18"/>
      <w:szCs w:val="18"/>
    </w:rPr>
  </w:style>
  <w:style w:type="character" w:customStyle="1" w:styleId="42">
    <w:name w:val="font151"/>
    <w:qFormat/>
    <w:uiPriority w:val="0"/>
    <w:rPr>
      <w:rFonts w:hint="eastAsia" w:ascii="宋体" w:hAnsi="宋体" w:eastAsia="宋体" w:cs="宋体"/>
      <w:b/>
      <w:bCs/>
      <w:color w:val="FF0000"/>
      <w:sz w:val="22"/>
      <w:szCs w:val="22"/>
      <w:u w:val="none"/>
    </w:rPr>
  </w:style>
  <w:style w:type="character" w:customStyle="1" w:styleId="43">
    <w:name w:val="Date Char"/>
    <w:qFormat/>
    <w:locked/>
    <w:uiPriority w:val="0"/>
    <w:rPr>
      <w:rFonts w:eastAsia="宋体"/>
      <w:b/>
      <w:kern w:val="2"/>
      <w:sz w:val="28"/>
      <w:lang w:val="en-US" w:eastAsia="zh-CN" w:bidi="ar-SA"/>
    </w:rPr>
  </w:style>
  <w:style w:type="character" w:customStyle="1" w:styleId="44">
    <w:name w:val="font61"/>
    <w:qFormat/>
    <w:uiPriority w:val="0"/>
    <w:rPr>
      <w:rFonts w:hint="eastAsia" w:ascii="宋体" w:hAnsi="宋体" w:eastAsia="宋体" w:cs="宋体"/>
      <w:b/>
      <w:bCs/>
      <w:color w:val="000000"/>
      <w:sz w:val="21"/>
      <w:szCs w:val="21"/>
      <w:u w:val="none"/>
    </w:rPr>
  </w:style>
  <w:style w:type="character" w:customStyle="1" w:styleId="45">
    <w:name w:val="font11"/>
    <w:qFormat/>
    <w:uiPriority w:val="0"/>
    <w:rPr>
      <w:rFonts w:hint="default" w:ascii="Times New Roman" w:hAnsi="Times New Roman" w:cs="Times New Roman"/>
      <w:color w:val="3366FF"/>
      <w:sz w:val="24"/>
      <w:szCs w:val="24"/>
      <w:u w:val="none"/>
    </w:rPr>
  </w:style>
  <w:style w:type="character" w:customStyle="1" w:styleId="46">
    <w:name w:val="font101"/>
    <w:qFormat/>
    <w:uiPriority w:val="0"/>
    <w:rPr>
      <w:rFonts w:hint="eastAsia" w:ascii="宋体" w:hAnsi="宋体" w:eastAsia="宋体" w:cs="宋体"/>
      <w:b/>
      <w:bCs/>
      <w:color w:val="FF0000"/>
      <w:sz w:val="20"/>
      <w:szCs w:val="20"/>
      <w:u w:val="single"/>
    </w:rPr>
  </w:style>
  <w:style w:type="character" w:customStyle="1" w:styleId="47">
    <w:name w:val="font111"/>
    <w:qFormat/>
    <w:uiPriority w:val="0"/>
    <w:rPr>
      <w:rFonts w:hint="default" w:ascii="Times New Roman" w:hAnsi="Times New Roman" w:cs="Times New Roman"/>
      <w:b/>
      <w:bCs/>
      <w:color w:val="000000"/>
      <w:sz w:val="21"/>
      <w:szCs w:val="21"/>
      <w:u w:val="none"/>
    </w:rPr>
  </w:style>
  <w:style w:type="character" w:customStyle="1" w:styleId="48">
    <w:name w:val="font91"/>
    <w:qFormat/>
    <w:uiPriority w:val="0"/>
    <w:rPr>
      <w:rFonts w:hint="eastAsia" w:ascii="宋体" w:hAnsi="宋体" w:eastAsia="宋体" w:cs="宋体"/>
      <w:b/>
      <w:bCs/>
      <w:color w:val="000000"/>
      <w:sz w:val="20"/>
      <w:szCs w:val="20"/>
      <w:u w:val="single"/>
    </w:rPr>
  </w:style>
  <w:style w:type="character" w:customStyle="1" w:styleId="49">
    <w:name w:val="font112"/>
    <w:qFormat/>
    <w:uiPriority w:val="0"/>
    <w:rPr>
      <w:rFonts w:hint="eastAsia" w:ascii="宋体" w:hAnsi="宋体" w:eastAsia="宋体" w:cs="宋体"/>
      <w:b/>
      <w:bCs/>
      <w:color w:val="FF0000"/>
      <w:sz w:val="22"/>
      <w:szCs w:val="22"/>
      <w:u w:val="none"/>
    </w:rPr>
  </w:style>
  <w:style w:type="character" w:customStyle="1" w:styleId="50">
    <w:name w:val="font71"/>
    <w:qFormat/>
    <w:uiPriority w:val="0"/>
    <w:rPr>
      <w:rFonts w:hint="eastAsia" w:ascii="宋体" w:hAnsi="宋体" w:eastAsia="宋体" w:cs="宋体"/>
      <w:color w:val="FF0000"/>
      <w:sz w:val="20"/>
      <w:szCs w:val="20"/>
      <w:u w:val="none"/>
    </w:rPr>
  </w:style>
  <w:style w:type="character" w:customStyle="1" w:styleId="51">
    <w:name w:val="font81"/>
    <w:qFormat/>
    <w:uiPriority w:val="0"/>
    <w:rPr>
      <w:rFonts w:hint="eastAsia" w:ascii="宋体" w:hAnsi="宋体" w:eastAsia="宋体" w:cs="宋体"/>
      <w:b/>
      <w:bCs/>
      <w:color w:val="000000"/>
      <w:sz w:val="20"/>
      <w:szCs w:val="20"/>
      <w:u w:val="none"/>
    </w:rPr>
  </w:style>
  <w:style w:type="character" w:customStyle="1" w:styleId="52">
    <w:name w:val="font141"/>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宋体" w:hAnsi="宋体" w:eastAsia="宋体" w:cs="宋体"/>
      <w:color w:val="FF0000"/>
      <w:sz w:val="20"/>
      <w:szCs w:val="20"/>
      <w:u w:val="none"/>
    </w:rPr>
  </w:style>
  <w:style w:type="character" w:customStyle="1" w:styleId="54">
    <w:name w:val="正文1"/>
    <w:qFormat/>
    <w:uiPriority w:val="0"/>
  </w:style>
  <w:style w:type="character" w:customStyle="1" w:styleId="55">
    <w:name w:val="style29"/>
    <w:qFormat/>
    <w:uiPriority w:val="0"/>
  </w:style>
  <w:style w:type="character" w:customStyle="1" w:styleId="56">
    <w:name w:val="font21"/>
    <w:qFormat/>
    <w:uiPriority w:val="0"/>
    <w:rPr>
      <w:rFonts w:hint="eastAsia" w:ascii="宋体" w:hAnsi="宋体" w:eastAsia="宋体"/>
      <w:color w:val="3366FF"/>
      <w:sz w:val="24"/>
      <w:szCs w:val="24"/>
      <w:u w:val="none"/>
    </w:rPr>
  </w:style>
  <w:style w:type="character" w:customStyle="1" w:styleId="57">
    <w:name w:val="font41"/>
    <w:qFormat/>
    <w:uiPriority w:val="0"/>
    <w:rPr>
      <w:rFonts w:hint="eastAsia" w:ascii="宋体" w:hAnsi="宋体" w:eastAsia="宋体" w:cs="宋体"/>
      <w:color w:val="000000"/>
      <w:sz w:val="20"/>
      <w:szCs w:val="20"/>
      <w:u w:val="singl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bCs/>
      <w:color w:val="000000"/>
      <w:sz w:val="22"/>
      <w:szCs w:val="22"/>
      <w:u w:val="single"/>
    </w:rPr>
  </w:style>
  <w:style w:type="character" w:customStyle="1" w:styleId="60">
    <w:name w:val="font131"/>
    <w:qFormat/>
    <w:uiPriority w:val="0"/>
    <w:rPr>
      <w:rFonts w:hint="eastAsia" w:ascii="宋体" w:hAnsi="宋体" w:eastAsia="宋体" w:cs="宋体"/>
      <w:color w:val="000000"/>
      <w:sz w:val="21"/>
      <w:szCs w:val="21"/>
      <w:u w:val="single"/>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161"/>
    <w:qFormat/>
    <w:uiPriority w:val="0"/>
    <w:rPr>
      <w:rFonts w:hint="eastAsia" w:ascii="宋体" w:hAnsi="宋体" w:eastAsia="宋体" w:cs="宋体"/>
      <w:color w:val="000000"/>
      <w:sz w:val="20"/>
      <w:szCs w:val="20"/>
      <w:u w:val="single"/>
    </w:rPr>
  </w:style>
  <w:style w:type="character" w:customStyle="1" w:styleId="63">
    <w:name w:val="font171"/>
    <w:qFormat/>
    <w:uiPriority w:val="0"/>
    <w:rPr>
      <w:rFonts w:hint="eastAsia" w:ascii="宋体" w:hAnsi="宋体" w:eastAsia="宋体" w:cs="宋体"/>
      <w:color w:val="000000"/>
      <w:sz w:val="20"/>
      <w:szCs w:val="20"/>
      <w:u w:val="single"/>
    </w:rPr>
  </w:style>
  <w:style w:type="paragraph" w:customStyle="1" w:styleId="6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5">
    <w:name w:val="Char16"/>
    <w:basedOn w:val="1"/>
    <w:qFormat/>
    <w:uiPriority w:val="0"/>
    <w:rPr>
      <w:rFonts w:ascii="Tahoma" w:hAnsi="Tahoma" w:eastAsia="仿宋_GB2312"/>
      <w:sz w:val="24"/>
    </w:rPr>
  </w:style>
  <w:style w:type="paragraph" w:customStyle="1" w:styleId="66">
    <w:name w:val="Char Char1"/>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Char Char Char"/>
    <w:basedOn w:val="1"/>
    <w:qFormat/>
    <w:uiPriority w:val="0"/>
    <w:rPr>
      <w:rFonts w:ascii="Tahoma" w:hAnsi="Tahoma"/>
      <w:sz w:val="24"/>
    </w:rPr>
  </w:style>
  <w:style w:type="paragraph" w:customStyle="1" w:styleId="70">
    <w:name w:val="样式1"/>
    <w:basedOn w:val="1"/>
    <w:qFormat/>
    <w:uiPriority w:val="0"/>
    <w:pPr>
      <w:numPr>
        <w:ilvl w:val="0"/>
        <w:numId w:val="1"/>
      </w:numPr>
      <w:adjustRightInd w:val="0"/>
      <w:textAlignment w:val="baseline"/>
    </w:pPr>
    <w:rPr>
      <w:rFonts w:ascii="宋体" w:hAnsi="宋体"/>
      <w:kern w:val="0"/>
    </w:rPr>
  </w:style>
  <w:style w:type="paragraph" w:customStyle="1" w:styleId="71">
    <w:name w:val="样式 宋体 五号 行距: 单倍行距"/>
    <w:basedOn w:val="1"/>
    <w:qFormat/>
    <w:uiPriority w:val="0"/>
    <w:pPr>
      <w:adjustRightInd w:val="0"/>
      <w:jc w:val="left"/>
      <w:textAlignment w:val="baseline"/>
    </w:pPr>
    <w:rPr>
      <w:rFonts w:ascii="宋体" w:hAnsi="宋体"/>
      <w:kern w:val="0"/>
    </w:rPr>
  </w:style>
  <w:style w:type="paragraph" w:customStyle="1" w:styleId="72">
    <w:name w:val="Char Char15"/>
    <w:basedOn w:val="1"/>
    <w:qFormat/>
    <w:uiPriority w:val="0"/>
    <w:rPr>
      <w:rFonts w:ascii="Tahoma" w:hAnsi="Tahoma" w:eastAsia="仿宋_GB2312"/>
      <w:sz w:val="24"/>
    </w:rPr>
  </w:style>
  <w:style w:type="paragraph" w:customStyle="1" w:styleId="73">
    <w:name w:val="Char"/>
    <w:basedOn w:val="1"/>
    <w:qFormat/>
    <w:uiPriority w:val="0"/>
    <w:rPr>
      <w:rFonts w:ascii="Tahoma" w:hAnsi="Tahoma" w:eastAsia="仿宋_GB2312"/>
      <w:sz w:val="24"/>
    </w:rPr>
  </w:style>
  <w:style w:type="paragraph" w:customStyle="1" w:styleId="74">
    <w:name w:val="Table Text"/>
    <w:basedOn w:val="1"/>
    <w:semiHidden/>
    <w:qFormat/>
    <w:uiPriority w:val="0"/>
    <w:rPr>
      <w:rFonts w:ascii="宋体" w:hAnsi="宋体" w:eastAsia="宋体" w:cs="宋体"/>
      <w:sz w:val="24"/>
      <w:szCs w:val="24"/>
      <w:lang w:eastAsia="en-US"/>
    </w:rPr>
  </w:style>
  <w:style w:type="paragraph" w:customStyle="1" w:styleId="75">
    <w:name w:val="Char2"/>
    <w:basedOn w:val="1"/>
    <w:qFormat/>
    <w:uiPriority w:val="0"/>
    <w:pPr>
      <w:tabs>
        <w:tab w:val="left" w:pos="360"/>
      </w:tabs>
    </w:pPr>
    <w:rPr>
      <w:sz w:val="24"/>
      <w:szCs w:val="24"/>
    </w:rPr>
  </w:style>
  <w:style w:type="paragraph" w:customStyle="1" w:styleId="76">
    <w:name w:val="纯文本1"/>
    <w:basedOn w:val="1"/>
    <w:qFormat/>
    <w:uiPriority w:val="0"/>
    <w:rPr>
      <w:rFonts w:ascii="宋体" w:hAnsi="Courier New" w:cs="Courier New"/>
      <w:szCs w:val="21"/>
    </w:rPr>
  </w:style>
  <w:style w:type="paragraph" w:customStyle="1" w:styleId="77">
    <w:name w:val="样式 标题 2 + 宋体 五号 行距: 单倍行距"/>
    <w:basedOn w:val="5"/>
    <w:qFormat/>
    <w:uiPriority w:val="0"/>
    <w:pPr>
      <w:spacing w:line="240" w:lineRule="auto"/>
    </w:pPr>
    <w:rPr>
      <w:rFonts w:ascii="宋体" w:hAnsi="宋体" w:eastAsia="宋体"/>
      <w:sz w:val="21"/>
    </w:rPr>
  </w:style>
  <w:style w:type="paragraph" w:customStyle="1" w:styleId="78">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9">
    <w:name w:val="_Style 8"/>
    <w:basedOn w:val="1"/>
    <w:qFormat/>
    <w:uiPriority w:val="0"/>
  </w:style>
  <w:style w:type="paragraph" w:customStyle="1" w:styleId="80">
    <w:name w:val="Char Char Char Char Char"/>
    <w:basedOn w:val="1"/>
    <w:qFormat/>
    <w:uiPriority w:val="0"/>
    <w:rPr>
      <w:rFonts w:ascii="Tahoma" w:hAnsi="Tahoma"/>
      <w:sz w:val="24"/>
    </w:rPr>
  </w:style>
  <w:style w:type="paragraph" w:customStyle="1" w:styleId="81">
    <w:name w:val="Char Char"/>
    <w:basedOn w:val="1"/>
    <w:qFormat/>
    <w:uiPriority w:val="0"/>
    <w:rPr>
      <w:rFonts w:ascii="Tahoma" w:hAnsi="Tahoma" w:cs="仿宋_GB2312"/>
      <w:sz w:val="24"/>
    </w:rPr>
  </w:style>
  <w:style w:type="paragraph" w:customStyle="1" w:styleId="82">
    <w:name w:val="Char1"/>
    <w:basedOn w:val="1"/>
    <w:qFormat/>
    <w:uiPriority w:val="0"/>
    <w:rPr>
      <w:rFonts w:ascii="Tahoma" w:hAnsi="Tahoma"/>
      <w:sz w:val="24"/>
    </w:rPr>
  </w:style>
  <w:style w:type="paragraph" w:customStyle="1" w:styleId="83">
    <w:name w:val="Char Char Char Char Char Char Char1 Char"/>
    <w:basedOn w:val="1"/>
    <w:qFormat/>
    <w:uiPriority w:val="0"/>
    <w:rPr>
      <w:rFonts w:ascii="Tahoma" w:hAnsi="Tahoma"/>
      <w:sz w:val="24"/>
    </w:rPr>
  </w:style>
  <w:style w:type="paragraph" w:customStyle="1" w:styleId="84">
    <w:name w:val="Char Char Char Char"/>
    <w:basedOn w:val="1"/>
    <w:next w:val="1"/>
    <w:qFormat/>
    <w:uiPriority w:val="0"/>
    <w:pPr>
      <w:widowControl/>
      <w:spacing w:line="360" w:lineRule="auto"/>
      <w:jc w:val="left"/>
    </w:pPr>
  </w:style>
  <w:style w:type="paragraph" w:customStyle="1" w:styleId="85">
    <w:name w:val="Char Char Char Char Char Char Char"/>
    <w:basedOn w:val="1"/>
    <w:qFormat/>
    <w:uiPriority w:val="0"/>
    <w:rPr>
      <w:szCs w:val="24"/>
    </w:rPr>
  </w:style>
  <w:style w:type="paragraph" w:customStyle="1" w:styleId="86">
    <w:name w:val="Char Char Char1 Char"/>
    <w:basedOn w:val="1"/>
    <w:qFormat/>
    <w:uiPriority w:val="0"/>
    <w:rPr>
      <w:szCs w:val="24"/>
    </w:rPr>
  </w:style>
  <w:style w:type="paragraph" w:customStyle="1" w:styleId="87">
    <w:name w:val="Char Char2"/>
    <w:basedOn w:val="1"/>
    <w:qFormat/>
    <w:uiPriority w:val="0"/>
    <w:rPr>
      <w:rFonts w:ascii="Tahoma" w:hAnsi="Tahoma" w:cs="仿宋_GB2312"/>
      <w:sz w:val="24"/>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_Style 89"/>
    <w:unhideWhenUsed/>
    <w:qFormat/>
    <w:uiPriority w:val="99"/>
    <w:rPr>
      <w:color w:val="605E5C"/>
      <w:shd w:val="clear" w:color="auto" w:fill="E1DFDD"/>
    </w:rPr>
  </w:style>
  <w:style w:type="paragraph" w:customStyle="1" w:styleId="91">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2">
    <w:name w:val="Revision"/>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19</Pages>
  <Words>7018</Words>
  <Characters>7212</Characters>
  <Lines>396</Lines>
  <Paragraphs>470</Paragraphs>
  <TotalTime>5</TotalTime>
  <ScaleCrop>false</ScaleCrop>
  <LinksUpToDate>false</LinksUpToDate>
  <CharactersWithSpaces>7509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2025-04-25T09:47:14Z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479682F17528446F8B2ABCDCD03440ED_13</vt:lpwstr>
  </property>
  <property fmtid="{D5CDD505-2E9C-101B-9397-08002B2CF9AE}" pid="4" name="KSOTemplateDocerSaveRecord">
    <vt:lpwstr>eyJoZGlkIjoiNTUyMTFkZDc3YzZlYmNlYmUxMWUyYjZkMzBlZjExNGIiLCJ1c2VySWQiOiI2ODM4MTg5ODEifQ==</vt:lpwstr>
  </property>
</Properties>
</file>