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1"/>
        <w:rPr>
          <w:rFonts w:hint="eastAsia"/>
          <w:highlight w:val="none"/>
        </w:rPr>
      </w:pPr>
    </w:p>
    <w:p w14:paraId="3961DABD">
      <w:pPr>
        <w:widowControl/>
        <w:spacing w:line="276" w:lineRule="auto"/>
        <w:jc w:val="center"/>
        <w:rPr>
          <w:rFonts w:hint="eastAsia" w:ascii="宋体" w:hAnsi="宋体" w:eastAsia="宋体" w:cs="宋体"/>
          <w:bCs/>
          <w:sz w:val="48"/>
          <w:szCs w:val="48"/>
          <w:highlight w:val="none"/>
          <w:lang w:eastAsia="zh-CN"/>
        </w:rPr>
      </w:pPr>
      <w:r>
        <w:rPr>
          <w:rFonts w:hint="eastAsia" w:ascii="宋体" w:hAnsi="宋体" w:eastAsia="宋体" w:cs="宋体"/>
          <w:bCs/>
          <w:sz w:val="48"/>
          <w:szCs w:val="48"/>
          <w:highlight w:val="none"/>
          <w:lang w:eastAsia="zh-CN"/>
        </w:rPr>
        <w:t>合肥综合性科学中心环境研究院超光谱团队实验室科研基础设施采购及安装（二次）</w:t>
      </w:r>
    </w:p>
    <w:p w14:paraId="4B96E8B7">
      <w:pPr>
        <w:widowControl/>
        <w:spacing w:line="276" w:lineRule="auto"/>
        <w:jc w:val="center"/>
        <w:rPr>
          <w:rFonts w:hint="eastAsia" w:ascii="宋体" w:hAnsi="宋体" w:eastAsia="宋体" w:cs="宋体"/>
          <w:b/>
          <w:sz w:val="72"/>
          <w:szCs w:val="72"/>
          <w:highlight w:val="none"/>
        </w:rPr>
      </w:pPr>
    </w:p>
    <w:p w14:paraId="3E6D326D">
      <w:pPr>
        <w:widowControl/>
        <w:spacing w:line="276"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1C048A1F">
      <w:pPr>
        <w:pStyle w:val="79"/>
        <w:spacing w:line="360" w:lineRule="auto"/>
        <w:rPr>
          <w:rFonts w:hint="eastAsia" w:hAnsi="宋体" w:eastAsia="宋体" w:cs="宋体"/>
          <w:highlight w:val="none"/>
        </w:rPr>
      </w:pPr>
    </w:p>
    <w:p w14:paraId="73F67E2D">
      <w:pPr>
        <w:pStyle w:val="79"/>
        <w:spacing w:line="360" w:lineRule="auto"/>
        <w:rPr>
          <w:rFonts w:hint="eastAsia" w:hAnsi="宋体" w:eastAsia="宋体" w:cs="宋体"/>
          <w:highlight w:val="none"/>
        </w:rPr>
      </w:pPr>
    </w:p>
    <w:p w14:paraId="6AA1C9C5">
      <w:pPr>
        <w:pStyle w:val="79"/>
        <w:spacing w:line="360" w:lineRule="auto"/>
        <w:rPr>
          <w:rFonts w:hint="eastAsia" w:hAnsi="宋体" w:eastAsia="宋体" w:cs="宋体"/>
          <w:highlight w:val="none"/>
        </w:rPr>
      </w:pPr>
    </w:p>
    <w:p w14:paraId="2AAD95B3">
      <w:pPr>
        <w:pStyle w:val="79"/>
        <w:spacing w:line="360" w:lineRule="auto"/>
        <w:rPr>
          <w:rFonts w:hint="eastAsia" w:hAnsi="宋体" w:eastAsia="宋体" w:cs="宋体"/>
          <w:highlight w:val="none"/>
        </w:rPr>
      </w:pPr>
    </w:p>
    <w:p w14:paraId="38E96C0D">
      <w:pPr>
        <w:widowControl/>
        <w:rPr>
          <w:rFonts w:hint="eastAsia" w:ascii="宋体" w:hAnsi="宋体" w:eastAsia="宋体" w:cs="宋体"/>
          <w:b/>
          <w:kern w:val="0"/>
          <w:sz w:val="28"/>
          <w:highlight w:val="none"/>
        </w:rPr>
      </w:pPr>
    </w:p>
    <w:p w14:paraId="4609886A">
      <w:pPr>
        <w:widowControl/>
        <w:rPr>
          <w:rFonts w:hint="eastAsia" w:ascii="宋体" w:hAnsi="宋体" w:eastAsia="宋体" w:cs="宋体"/>
          <w:b/>
          <w:kern w:val="0"/>
          <w:sz w:val="28"/>
          <w:highlight w:val="none"/>
        </w:rPr>
      </w:pPr>
    </w:p>
    <w:p w14:paraId="72365CB6">
      <w:pPr>
        <w:widowControl/>
        <w:rPr>
          <w:rFonts w:hint="eastAsia" w:ascii="宋体" w:hAnsi="宋体" w:eastAsia="宋体" w:cs="宋体"/>
          <w:b/>
          <w:kern w:val="0"/>
          <w:sz w:val="28"/>
          <w:highlight w:val="none"/>
        </w:rPr>
      </w:pPr>
    </w:p>
    <w:p w14:paraId="0A5AA475">
      <w:pPr>
        <w:widowControl/>
        <w:rPr>
          <w:rFonts w:hint="eastAsia" w:ascii="宋体" w:hAnsi="宋体" w:eastAsia="宋体" w:cs="宋体"/>
          <w:b/>
          <w:kern w:val="0"/>
          <w:sz w:val="28"/>
          <w:highlight w:val="none"/>
        </w:rPr>
      </w:pPr>
    </w:p>
    <w:p w14:paraId="3D69D12B">
      <w:pPr>
        <w:widowControl/>
        <w:rPr>
          <w:rFonts w:hint="eastAsia" w:ascii="宋体" w:hAnsi="宋体" w:eastAsia="宋体" w:cs="宋体"/>
          <w:b/>
          <w:kern w:val="0"/>
          <w:sz w:val="28"/>
          <w:highlight w:val="none"/>
        </w:rPr>
      </w:pPr>
    </w:p>
    <w:p w14:paraId="2A748752">
      <w:pPr>
        <w:widowControl/>
        <w:rPr>
          <w:rFonts w:hint="eastAsia" w:ascii="宋体" w:hAnsi="宋体" w:eastAsia="宋体" w:cs="宋体"/>
          <w:b/>
          <w:kern w:val="0"/>
          <w:sz w:val="28"/>
          <w:highlight w:val="none"/>
        </w:rPr>
      </w:pPr>
    </w:p>
    <w:p w14:paraId="33A0A6A7">
      <w:pPr>
        <w:pStyle w:val="2"/>
        <w:rPr>
          <w:rFonts w:hint="eastAsia"/>
          <w:highlight w:val="none"/>
        </w:rPr>
      </w:pPr>
    </w:p>
    <w:p w14:paraId="3FA86FB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5DEB2222">
      <w:pPr>
        <w:jc w:val="center"/>
        <w:rPr>
          <w:rFonts w:hint="eastAsia" w:ascii="宋体" w:hAnsi="宋体" w:eastAsia="宋体" w:cs="宋体"/>
          <w:highlight w:val="none"/>
        </w:rPr>
      </w:pPr>
      <w:r>
        <w:rPr>
          <w:rFonts w:hint="eastAsia" w:ascii="宋体" w:hAnsi="宋体" w:eastAsia="宋体" w:cs="宋体"/>
          <w:bCs/>
          <w:kern w:val="0"/>
          <w:sz w:val="32"/>
          <w:szCs w:val="21"/>
          <w:highlight w:val="none"/>
        </w:rPr>
        <w:t>2025年</w:t>
      </w:r>
      <w:r>
        <w:rPr>
          <w:rFonts w:hint="eastAsia" w:ascii="宋体" w:hAnsi="宋体" w:eastAsia="宋体" w:cs="宋体"/>
          <w:bCs/>
          <w:kern w:val="0"/>
          <w:sz w:val="32"/>
          <w:szCs w:val="21"/>
          <w:highlight w:val="none"/>
          <w:lang w:val="en-US" w:eastAsia="zh-CN"/>
        </w:rPr>
        <w:t>8</w:t>
      </w:r>
      <w:r>
        <w:rPr>
          <w:rFonts w:hint="eastAsia" w:ascii="宋体" w:hAnsi="宋体" w:eastAsia="宋体" w:cs="宋体"/>
          <w:bCs/>
          <w:kern w:val="0"/>
          <w:sz w:val="32"/>
          <w:szCs w:val="21"/>
          <w:highlight w:val="none"/>
        </w:rPr>
        <w:t>月</w:t>
      </w:r>
      <w:r>
        <w:rPr>
          <w:rFonts w:hint="eastAsia" w:ascii="宋体" w:hAnsi="宋体" w:eastAsia="宋体" w:cs="宋体"/>
          <w:bCs/>
          <w:kern w:val="0"/>
          <w:sz w:val="32"/>
          <w:szCs w:val="21"/>
          <w:highlight w:val="none"/>
          <w:lang w:val="en-US" w:eastAsia="zh-CN"/>
        </w:rPr>
        <w:t>5</w:t>
      </w:r>
      <w:r>
        <w:rPr>
          <w:rFonts w:hint="eastAsia" w:ascii="宋体" w:hAnsi="宋体" w:eastAsia="宋体" w:cs="宋体"/>
          <w:bCs/>
          <w:kern w:val="0"/>
          <w:sz w:val="32"/>
          <w:szCs w:val="21"/>
          <w:highlight w:val="none"/>
        </w:rPr>
        <w:t>日</w:t>
      </w:r>
      <w:r>
        <w:rPr>
          <w:rFonts w:hint="eastAsia" w:ascii="宋体" w:hAnsi="宋体" w:eastAsia="宋体" w:cs="宋体"/>
          <w:b/>
          <w:color w:val="000000"/>
          <w:sz w:val="24"/>
          <w:szCs w:val="24"/>
          <w:highlight w:val="none"/>
        </w:rPr>
        <w:br w:type="page"/>
      </w:r>
    </w:p>
    <w:p w14:paraId="261D82CE">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目  录</w:t>
      </w:r>
    </w:p>
    <w:p w14:paraId="5DC4919C">
      <w:pPr>
        <w:jc w:val="center"/>
        <w:rPr>
          <w:rFonts w:hint="eastAsia" w:ascii="宋体" w:hAnsi="宋体" w:eastAsia="宋体" w:cs="宋体"/>
          <w:b/>
          <w:color w:val="000000"/>
          <w:sz w:val="24"/>
          <w:szCs w:val="24"/>
          <w:highlight w:val="none"/>
        </w:rPr>
      </w:pPr>
    </w:p>
    <w:p w14:paraId="33484E71">
      <w:pPr>
        <w:pStyle w:val="23"/>
        <w:tabs>
          <w:tab w:val="right" w:leader="dot" w:pos="9071"/>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 xml:space="preserve">一、 </w:t>
      </w:r>
      <w:r>
        <w:rPr>
          <w:rFonts w:hint="eastAsia" w:ascii="宋体" w:hAnsi="宋体" w:eastAsia="宋体" w:cs="宋体"/>
          <w:sz w:val="28"/>
          <w:szCs w:val="28"/>
          <w:highlight w:val="none"/>
          <w:lang w:eastAsia="zh-CN"/>
        </w:rPr>
        <w:t>磋商</w:t>
      </w:r>
      <w:r>
        <w:rPr>
          <w:rFonts w:hint="eastAsia" w:ascii="宋体" w:hAnsi="宋体" w:eastAsia="宋体" w:cs="宋体"/>
          <w:sz w:val="28"/>
          <w:szCs w:val="28"/>
          <w:highlight w:val="none"/>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F966C3">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94BA67F">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9DCB03F">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DFC82DA">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F090E1A">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1</w:t>
      </w:r>
    </w:p>
    <w:p w14:paraId="67FD059C">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429BFB">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4FDE856">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 xml:space="preserve">九、 </w:t>
      </w:r>
      <w:r>
        <w:rPr>
          <w:rFonts w:hint="eastAsia" w:ascii="宋体" w:hAnsi="宋体" w:eastAsia="宋体" w:cs="宋体"/>
          <w:sz w:val="28"/>
          <w:szCs w:val="28"/>
          <w:highlight w:val="none"/>
          <w:lang w:val="en-US" w:eastAsia="zh-CN"/>
        </w:rPr>
        <w:t>响应</w:t>
      </w:r>
      <w:r>
        <w:rPr>
          <w:rFonts w:hint="eastAsia" w:ascii="宋体" w:hAnsi="宋体" w:eastAsia="宋体" w:cs="宋体"/>
          <w:sz w:val="28"/>
          <w:szCs w:val="28"/>
          <w:highlight w:val="none"/>
        </w:rPr>
        <w:t>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E30AE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0" w:name="_Toc216158623"/>
      <w:bookmarkStart w:id="1" w:name="_Toc363199264"/>
    </w:p>
    <w:p w14:paraId="6E3653DC">
      <w:pPr>
        <w:spacing w:line="360" w:lineRule="auto"/>
        <w:rPr>
          <w:rFonts w:hint="eastAsia" w:ascii="宋体" w:hAnsi="宋体" w:eastAsia="宋体" w:cs="宋体"/>
          <w:color w:val="000000"/>
          <w:sz w:val="24"/>
          <w:szCs w:val="24"/>
          <w:highlight w:val="none"/>
        </w:rPr>
      </w:pPr>
    </w:p>
    <w:p w14:paraId="716E6AAB">
      <w:pPr>
        <w:spacing w:line="360" w:lineRule="auto"/>
        <w:rPr>
          <w:rFonts w:hint="eastAsia" w:ascii="宋体" w:hAnsi="宋体" w:eastAsia="宋体" w:cs="宋体"/>
          <w:color w:val="000000"/>
          <w:sz w:val="24"/>
          <w:szCs w:val="24"/>
          <w:highlight w:val="none"/>
        </w:rPr>
      </w:pPr>
    </w:p>
    <w:p w14:paraId="2047FBC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10B603A3">
      <w:pPr>
        <w:pStyle w:val="4"/>
        <w:keepLines/>
        <w:ind w:left="720" w:hanging="720"/>
        <w:jc w:val="center"/>
        <w:rPr>
          <w:rFonts w:hint="eastAsia" w:ascii="宋体" w:hAnsi="宋体" w:eastAsia="宋体" w:cs="宋体"/>
          <w:color w:val="000000"/>
          <w:sz w:val="32"/>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lang w:val="en-US" w:eastAsia="zh-CN"/>
        </w:rPr>
        <w:t>磋商</w:t>
      </w:r>
      <w:r>
        <w:rPr>
          <w:rFonts w:hint="eastAsia" w:ascii="宋体" w:hAnsi="宋体" w:eastAsia="宋体" w:cs="宋体"/>
          <w:color w:val="000000"/>
          <w:sz w:val="32"/>
          <w:highlight w:val="none"/>
        </w:rPr>
        <w:t>公告</w:t>
      </w:r>
      <w:bookmarkEnd w:id="2"/>
    </w:p>
    <w:p w14:paraId="76B92001">
      <w:pPr>
        <w:spacing w:line="360" w:lineRule="auto"/>
        <w:rPr>
          <w:rFonts w:hint="eastAsia" w:ascii="宋体" w:hAnsi="宋体" w:eastAsia="宋体" w:cs="宋体"/>
          <w:color w:val="000000"/>
          <w:sz w:val="24"/>
          <w:szCs w:val="24"/>
          <w:highlight w:val="none"/>
        </w:rPr>
      </w:pPr>
    </w:p>
    <w:p w14:paraId="0F188466">
      <w:pPr>
        <w:pStyle w:val="91"/>
        <w:widowControl w:val="0"/>
        <w:autoSpaceDE w:val="0"/>
        <w:autoSpaceDN w:val="0"/>
        <w:adjustRightInd w:val="0"/>
        <w:snapToGrid w:val="0"/>
        <w:spacing w:before="0" w:after="0" w:line="360" w:lineRule="auto"/>
        <w:jc w:val="both"/>
        <w:rPr>
          <w:rFonts w:hint="eastAsia"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rPr>
        <w:t>超光谱团队实验室科研基础设施采购及安装</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二次</w:t>
      </w:r>
      <w:r>
        <w:rPr>
          <w:rFonts w:hint="eastAsia" w:ascii="宋体" w:hAnsi="宋体" w:eastAsia="宋体" w:cs="宋体"/>
          <w:szCs w:val="24"/>
          <w:highlight w:val="none"/>
          <w:lang w:eastAsia="zh-CN"/>
        </w:rPr>
        <w:t>）</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进行竞争性磋商采购，欢迎具备条件的供应商</w:t>
      </w:r>
      <w:r>
        <w:rPr>
          <w:rFonts w:hint="eastAsia" w:ascii="宋体" w:hAnsi="宋体" w:eastAsia="宋体" w:cs="宋体"/>
          <w:szCs w:val="24"/>
          <w:highlight w:val="none"/>
          <w:lang w:val="en-US" w:eastAsia="zh-CN"/>
        </w:rPr>
        <w:t>递交响应文件</w:t>
      </w:r>
      <w:r>
        <w:rPr>
          <w:rFonts w:hint="eastAsia" w:ascii="宋体" w:hAnsi="宋体" w:eastAsia="宋体" w:cs="宋体"/>
          <w:szCs w:val="24"/>
          <w:highlight w:val="none"/>
        </w:rPr>
        <w:t>。</w:t>
      </w:r>
    </w:p>
    <w:bookmarkEnd w:id="3"/>
    <w:p w14:paraId="5A1E6250">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27C068A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1B427C7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67A59176">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3、项目名称：</w:t>
      </w:r>
      <w:r>
        <w:rPr>
          <w:rFonts w:hint="eastAsia" w:ascii="宋体" w:hAnsi="宋体" w:eastAsia="宋体" w:cs="宋体"/>
          <w:kern w:val="0"/>
          <w:sz w:val="24"/>
          <w:szCs w:val="24"/>
          <w:highlight w:val="none"/>
          <w:lang w:eastAsia="zh-CN"/>
        </w:rPr>
        <w:t>合肥综合性科学中心环境研究院超光谱团队实验室科研基础设施采购及安装（二次）</w:t>
      </w:r>
    </w:p>
    <w:p w14:paraId="32D09C3E">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4、采购内容：</w:t>
      </w:r>
      <w:r>
        <w:rPr>
          <w:rFonts w:hint="eastAsia" w:ascii="宋体" w:hAnsi="宋体" w:eastAsia="宋体" w:cs="宋体"/>
          <w:kern w:val="0"/>
          <w:sz w:val="24"/>
          <w:szCs w:val="24"/>
          <w:highlight w:val="none"/>
          <w:lang w:eastAsia="zh-CN"/>
        </w:rPr>
        <w:t>合肥综合性科学中心环境研究院超光谱团队实验室科研基础设施采购及安装（二次）</w:t>
      </w:r>
      <w:r>
        <w:rPr>
          <w:rFonts w:hint="eastAsia" w:ascii="宋体" w:hAnsi="宋体" w:eastAsia="宋体" w:cs="宋体"/>
          <w:kern w:val="0"/>
          <w:sz w:val="24"/>
          <w:szCs w:val="24"/>
          <w:highlight w:val="none"/>
        </w:rPr>
        <w:t>，按科研用途进行吊顶和墙面粉刷等环境改造，以满足超光谱智能感知技术创新团队人员入驻开展实验工作需要，具体详见采购需求。</w:t>
      </w:r>
    </w:p>
    <w:p w14:paraId="707EEF9C">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0B7A7262">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067E79CF">
      <w:pPr>
        <w:pStyle w:val="16"/>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2025年8月</w:t>
      </w:r>
      <w:r>
        <w:rPr>
          <w:rFonts w:hint="eastAsia" w:hAnsi="宋体" w:eastAsia="宋体" w:cs="宋体"/>
          <w:sz w:val="24"/>
          <w:szCs w:val="24"/>
          <w:highlight w:val="none"/>
          <w:lang w:val="en-US" w:eastAsia="zh-CN"/>
        </w:rPr>
        <w:t>19</w:t>
      </w:r>
      <w:r>
        <w:rPr>
          <w:rFonts w:hint="eastAsia" w:hAnsi="宋体" w:eastAsia="宋体" w:cs="宋体"/>
          <w:sz w:val="24"/>
          <w:szCs w:val="24"/>
          <w:highlight w:val="none"/>
        </w:rPr>
        <w:t>日9：</w:t>
      </w:r>
      <w:r>
        <w:rPr>
          <w:rFonts w:hint="eastAsia" w:hAnsi="宋体" w:eastAsia="宋体" w:cs="宋体"/>
          <w:sz w:val="24"/>
          <w:szCs w:val="24"/>
          <w:highlight w:val="none"/>
          <w:lang w:val="en-US" w:eastAsia="zh-CN"/>
        </w:rPr>
        <w:t>0</w:t>
      </w:r>
      <w:r>
        <w:rPr>
          <w:rFonts w:hint="eastAsia" w:hAnsi="宋体" w:eastAsia="宋体" w:cs="宋体"/>
          <w:sz w:val="24"/>
          <w:szCs w:val="24"/>
          <w:highlight w:val="none"/>
        </w:rPr>
        <w:t>0（北京时间）</w:t>
      </w:r>
    </w:p>
    <w:p w14:paraId="548567D4">
      <w:pPr>
        <w:pStyle w:val="16"/>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3、响应文件递交：</w:t>
      </w:r>
      <w:bookmarkStart w:id="69" w:name="_GoBack"/>
      <w:bookmarkEnd w:id="69"/>
    </w:p>
    <w:p w14:paraId="37DED89F">
      <w:pPr>
        <w:pStyle w:val="16"/>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递交地点：合肥市蜀山区湖光路电商园四期E栋10楼1018室</w:t>
      </w:r>
    </w:p>
    <w:p w14:paraId="07D96791">
      <w:pPr>
        <w:pStyle w:val="16"/>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6EB33005">
      <w:pPr>
        <w:pStyle w:val="16"/>
        <w:adjustRightInd w:val="0"/>
        <w:snapToGrid w:val="0"/>
        <w:spacing w:line="360" w:lineRule="auto"/>
        <w:ind w:left="216" w:leftChars="103"/>
        <w:rPr>
          <w:rFonts w:hint="eastAsia"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39347585">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40F273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w:t>
      </w:r>
    </w:p>
    <w:p w14:paraId="1A27EC7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w:t>
      </w:r>
    </w:p>
    <w:p w14:paraId="58A8792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2.1供应商具有有效的：</w:t>
      </w:r>
    </w:p>
    <w:p w14:paraId="1056FF34">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（1）供应商须具备有效的建筑工程施工总承包三级及以上资质或建筑装修装饰工程专业承包二级及以上资质；</w:t>
      </w:r>
    </w:p>
    <w:p w14:paraId="741888F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（2）安全生产许可证。</w:t>
      </w:r>
    </w:p>
    <w:p w14:paraId="2BF4573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2.2拟派项目经理具有有效的：</w:t>
      </w:r>
    </w:p>
    <w:p w14:paraId="6797DC4A">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（1）建筑工程专业二级及以上注册建造师执业资格；</w:t>
      </w:r>
    </w:p>
    <w:p w14:paraId="0AFC6C1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（2）安全生产考核合格证（B类）；</w:t>
      </w:r>
    </w:p>
    <w:p w14:paraId="65E3220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（3）目前未在其他项目上任职或虽在其他项目上任职但本项目成交后能够从该项目撤离（提供书面承诺）。</w:t>
      </w:r>
    </w:p>
    <w:p w14:paraId="51FCE0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4FDD822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eastAsia"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426EF98D">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4041535C">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联系人：陆老师</w:t>
      </w:r>
    </w:p>
    <w:p w14:paraId="7CDFBD2B">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联系电话：15395059365</w:t>
      </w:r>
    </w:p>
    <w:p w14:paraId="234BFBF2">
      <w:pPr>
        <w:pStyle w:val="16"/>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电子邮箱： luchuan@hfioe.cn</w:t>
      </w:r>
    </w:p>
    <w:p w14:paraId="22591492">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306CCEAA">
      <w:pPr>
        <w:pStyle w:val="16"/>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综合评分法。</w:t>
      </w:r>
    </w:p>
    <w:p w14:paraId="74E53A0A">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4BA45EB5">
      <w:pPr>
        <w:pStyle w:val="16"/>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6BF5D343">
      <w:pPr>
        <w:pStyle w:val="16"/>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55256FDB">
      <w:pPr>
        <w:spacing w:line="360" w:lineRule="auto"/>
        <w:rPr>
          <w:rFonts w:hint="eastAsia" w:ascii="宋体" w:hAnsi="宋体" w:eastAsia="宋体" w:cs="宋体"/>
          <w:color w:val="000000"/>
          <w:sz w:val="24"/>
          <w:szCs w:val="24"/>
          <w:highlight w:val="none"/>
        </w:rPr>
      </w:pPr>
    </w:p>
    <w:p w14:paraId="07C4B49C">
      <w:pPr>
        <w:spacing w:line="360" w:lineRule="auto"/>
        <w:jc w:val="left"/>
        <w:rPr>
          <w:rFonts w:hint="eastAsia" w:ascii="宋体" w:hAnsi="宋体" w:eastAsia="宋体" w:cs="宋体"/>
          <w:bCs/>
          <w:kern w:val="0"/>
          <w:sz w:val="28"/>
          <w:szCs w:val="28"/>
          <w:highlight w:val="none"/>
        </w:rPr>
        <w:sectPr>
          <w:headerReference r:id="rId5" w:type="default"/>
          <w:footerReference r:id="rId6"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4"/>
        <w:keepLines/>
        <w:ind w:left="720" w:hanging="720"/>
        <w:jc w:val="center"/>
        <w:rPr>
          <w:rFonts w:hint="eastAsia"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eastAsia" w:ascii="宋体" w:hAnsi="宋体" w:eastAsia="宋体" w:cs="宋体"/>
                <w:b/>
                <w:sz w:val="24"/>
                <w:highlight w:val="none"/>
              </w:rPr>
            </w:pPr>
            <w:bookmarkStart w:id="6" w:name="_Toc216158624"/>
            <w:bookmarkStart w:id="7" w:name="_Toc363199265"/>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eastAsia" w:ascii="宋体" w:hAnsi="宋体" w:eastAsia="宋体" w:cs="宋体"/>
                <w:sz w:val="24"/>
                <w:highlight w:val="none"/>
                <w:lang w:eastAsia="zh-CN"/>
              </w:rPr>
            </w:pPr>
            <w:r>
              <w:rPr>
                <w:rFonts w:hint="eastAsia" w:ascii="宋体" w:hAnsi="宋体" w:eastAsia="宋体" w:cs="宋体"/>
                <w:kern w:val="0"/>
                <w:sz w:val="24"/>
                <w:szCs w:val="24"/>
                <w:highlight w:val="none"/>
                <w:lang w:eastAsia="zh-CN"/>
              </w:rPr>
              <w:t>合肥综合性科学中心环境研究院超光谱团队实验室科研基础设施采购及安装（二次）</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eastAsia" w:ascii="宋体" w:hAnsi="宋体" w:eastAsia="宋体" w:cs="宋体"/>
                <w:sz w:val="24"/>
                <w:highlight w:val="none"/>
                <w:u w:val="single"/>
              </w:rPr>
            </w:pPr>
            <w:r>
              <w:rPr>
                <w:rFonts w:hint="eastAsia" w:ascii="宋体" w:hAnsi="宋体" w:eastAsia="宋体" w:cs="宋体"/>
                <w:sz w:val="24"/>
                <w:highlight w:val="none"/>
              </w:rPr>
              <w:t>详见</w:t>
            </w:r>
            <w:r>
              <w:rPr>
                <w:rFonts w:hint="eastAsia" w:ascii="宋体" w:hAnsi="宋体" w:eastAsia="宋体" w:cs="宋体"/>
                <w:sz w:val="24"/>
                <w:highlight w:val="none"/>
                <w:lang w:eastAsia="zh-CN"/>
              </w:rPr>
              <w:t>磋商</w:t>
            </w:r>
            <w:r>
              <w:rPr>
                <w:rFonts w:hint="eastAsia" w:ascii="宋体" w:hAnsi="宋体" w:eastAsia="宋体" w:cs="宋体"/>
                <w:sz w:val="24"/>
                <w:highlight w:val="none"/>
              </w:rPr>
              <w:t>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18.9万元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工期</w:t>
            </w:r>
          </w:p>
        </w:tc>
        <w:tc>
          <w:tcPr>
            <w:tcW w:w="6644" w:type="dxa"/>
            <w:tcBorders>
              <w:top w:val="single" w:color="auto" w:sz="4" w:space="0"/>
              <w:left w:val="single" w:color="auto" w:sz="4" w:space="0"/>
              <w:bottom w:val="single" w:color="auto" w:sz="4" w:space="0"/>
              <w:right w:val="single" w:color="auto" w:sz="4" w:space="0"/>
            </w:tcBorders>
            <w:vAlign w:val="center"/>
          </w:tcPr>
          <w:p w14:paraId="6EC0FEE0">
            <w:pPr>
              <w:spacing w:line="440" w:lineRule="exact"/>
              <w:rPr>
                <w:rFonts w:hint="eastAsia" w:ascii="宋体" w:hAnsi="宋体" w:eastAsia="宋体" w:cs="宋体"/>
                <w:sz w:val="24"/>
                <w:highlight w:val="none"/>
              </w:rPr>
            </w:pPr>
            <w:r>
              <w:rPr>
                <w:rFonts w:hint="eastAsia" w:ascii="宋体" w:hAnsi="宋体" w:eastAsia="宋体" w:cs="宋体"/>
                <w:sz w:val="24"/>
                <w:highlight w:val="none"/>
              </w:rPr>
              <w:t>自开工之日起，30日历天，缺陷责任期为24个月。</w:t>
            </w:r>
          </w:p>
          <w:p w14:paraId="0F026E54">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是否接受负偏离：</w:t>
            </w:r>
            <w:r>
              <w:rPr>
                <w:rFonts w:hint="eastAsia" w:ascii="宋体" w:hAnsi="宋体" w:eastAsia="宋体" w:cs="宋体"/>
                <w:sz w:val="24"/>
                <w:highlight w:val="none"/>
              </w:rPr>
              <w:sym w:font="Wingdings" w:char="F0FE"/>
            </w:r>
            <w:r>
              <w:rPr>
                <w:rFonts w:hint="eastAsia" w:ascii="宋体" w:hAnsi="宋体" w:eastAsia="宋体" w:cs="宋体"/>
                <w:sz w:val="24"/>
                <w:highlight w:val="none"/>
              </w:rPr>
              <w:t>不接受</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施工地点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eastAsia" w:ascii="宋体" w:hAnsi="宋体" w:eastAsia="宋体" w:cs="宋体"/>
                <w:sz w:val="24"/>
                <w:highlight w:val="none"/>
              </w:rPr>
            </w:pPr>
            <w:r>
              <w:rPr>
                <w:rFonts w:hint="eastAsia" w:ascii="宋体" w:hAnsi="宋体" w:eastAsia="宋体" w:cs="宋体"/>
                <w:sz w:val="24"/>
                <w:szCs w:val="24"/>
                <w:highlight w:val="none"/>
              </w:rPr>
              <w:t>合肥市蜀山区湖光路电商园四期E楼，采购人制定地点</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达到验收合格标准</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C6DD8B0">
            <w:pPr>
              <w:rPr>
                <w:rFonts w:hint="eastAsia" w:ascii="宋体" w:hAnsi="宋体" w:eastAsia="宋体" w:cs="宋体"/>
                <w:sz w:val="24"/>
                <w:highlight w:val="none"/>
              </w:rPr>
            </w:pPr>
            <w:r>
              <w:rPr>
                <w:rFonts w:hint="eastAsia" w:ascii="宋体" w:hAnsi="宋体" w:eastAsia="宋体" w:cs="宋体"/>
                <w:sz w:val="24"/>
                <w:highlight w:val="none"/>
              </w:rPr>
              <w:t>工程竣工验收合格后付至合同价款的97%,余款3%作为质量保证金，缺陷责任期满后一次性付清。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5ECA567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递交地点：合肥市蜀山区湖光路电商园四期E栋10楼</w:t>
            </w:r>
            <w:r>
              <w:rPr>
                <w:rFonts w:hint="eastAsia" w:hAnsi="宋体" w:eastAsia="宋体" w:cs="宋体"/>
                <w:sz w:val="24"/>
                <w:szCs w:val="24"/>
                <w:highlight w:val="none"/>
              </w:rPr>
              <w:t>1018室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1.响应文件未密封的</w:t>
            </w:r>
          </w:p>
          <w:p w14:paraId="370A760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01C8B79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23FFDA23">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4.响应报价超过最高限价的</w:t>
            </w:r>
          </w:p>
          <w:p w14:paraId="5DF85CED">
            <w:pPr>
              <w:spacing w:line="440" w:lineRule="exact"/>
              <w:jc w:val="left"/>
              <w:rPr>
                <w:rFonts w:hint="eastAsia" w:eastAsia="宋体"/>
                <w:highlight w:val="none"/>
              </w:rPr>
            </w:pPr>
            <w:r>
              <w:rPr>
                <w:rFonts w:hint="eastAsia" w:ascii="宋体" w:hAnsi="宋体" w:eastAsia="宋体" w:cs="宋体"/>
                <w:sz w:val="24"/>
                <w:highlight w:val="none"/>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20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缺陷责任期满</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自验收合格之日起2年。</w:t>
            </w:r>
          </w:p>
        </w:tc>
      </w:tr>
      <w:tr w14:paraId="1EB4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3D99AB6">
            <w:pPr>
              <w:spacing w:line="440" w:lineRule="exact"/>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w:t>
            </w:r>
          </w:p>
        </w:tc>
        <w:tc>
          <w:tcPr>
            <w:tcW w:w="2389" w:type="dxa"/>
            <w:tcBorders>
              <w:top w:val="single" w:color="auto" w:sz="4" w:space="0"/>
              <w:left w:val="single" w:color="auto" w:sz="4" w:space="0"/>
              <w:bottom w:val="single" w:color="auto" w:sz="4" w:space="0"/>
              <w:right w:val="single" w:color="auto" w:sz="4" w:space="0"/>
            </w:tcBorders>
            <w:vAlign w:val="center"/>
          </w:tcPr>
          <w:p w14:paraId="25115B8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确定提交最后报价的供应商</w:t>
            </w:r>
          </w:p>
        </w:tc>
        <w:tc>
          <w:tcPr>
            <w:tcW w:w="6644" w:type="dxa"/>
            <w:tcBorders>
              <w:top w:val="single" w:color="auto" w:sz="4" w:space="0"/>
              <w:left w:val="single" w:color="auto" w:sz="4" w:space="0"/>
              <w:bottom w:val="single" w:color="auto" w:sz="4" w:space="0"/>
              <w:right w:val="single" w:color="auto" w:sz="4" w:space="0"/>
            </w:tcBorders>
            <w:vAlign w:val="center"/>
          </w:tcPr>
          <w:p w14:paraId="59F857BB">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本项目磋商文件已详细列明采购标的技术、服务要求，在采购标的技术、服务要求不变的情况下，各供应商响应文件中的首轮报价即作为最终报价。</w:t>
            </w:r>
          </w:p>
        </w:tc>
      </w:tr>
      <w:tr w14:paraId="615C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6BD1B5">
            <w:pPr>
              <w:spacing w:line="440" w:lineRule="exact"/>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w:t>
            </w:r>
          </w:p>
        </w:tc>
        <w:tc>
          <w:tcPr>
            <w:tcW w:w="2389" w:type="dxa"/>
            <w:tcBorders>
              <w:top w:val="single" w:color="auto" w:sz="4" w:space="0"/>
              <w:left w:val="single" w:color="auto" w:sz="4" w:space="0"/>
              <w:bottom w:val="single" w:color="auto" w:sz="4" w:space="0"/>
              <w:right w:val="single" w:color="auto" w:sz="4" w:space="0"/>
            </w:tcBorders>
            <w:vAlign w:val="center"/>
          </w:tcPr>
          <w:p w14:paraId="2E11D5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报价轮次</w:t>
            </w:r>
          </w:p>
        </w:tc>
        <w:tc>
          <w:tcPr>
            <w:tcW w:w="6644" w:type="dxa"/>
            <w:tcBorders>
              <w:top w:val="single" w:color="auto" w:sz="4" w:space="0"/>
              <w:left w:val="single" w:color="auto" w:sz="4" w:space="0"/>
              <w:bottom w:val="single" w:color="auto" w:sz="4" w:space="0"/>
              <w:right w:val="single" w:color="auto" w:sz="4" w:space="0"/>
            </w:tcBorders>
            <w:vAlign w:val="center"/>
          </w:tcPr>
          <w:p w14:paraId="1E1BC13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一轮。由于本项目磋商文件已能够较详细的列明采购标的的技术、服务要求服务方案、内容以及合同条款，在服务方案、内容以及合同条款不变的情况下，各供应商响应文件中的首轮报价即作为最终报价。</w:t>
            </w:r>
          </w:p>
        </w:tc>
      </w:tr>
    </w:tbl>
    <w:p w14:paraId="2D176FDC">
      <w:pPr>
        <w:pStyle w:val="80"/>
        <w:jc w:val="center"/>
        <w:rPr>
          <w:rFonts w:hint="eastAsia" w:cs="宋体"/>
          <w:color w:val="000000"/>
          <w:sz w:val="24"/>
          <w:szCs w:val="24"/>
          <w:highlight w:val="none"/>
        </w:rPr>
        <w:sectPr>
          <w:headerReference r:id="rId7" w:type="default"/>
          <w:footerReference r:id="rId9" w:type="default"/>
          <w:headerReference r:id="rId8" w:type="even"/>
          <w:footerReference r:id="rId10" w:type="even"/>
          <w:pgSz w:w="11906" w:h="16838"/>
          <w:pgMar w:top="1440" w:right="1559" w:bottom="1440" w:left="1559" w:header="851" w:footer="992" w:gutter="0"/>
          <w:cols w:space="720" w:num="1"/>
          <w:docGrid w:type="lines" w:linePitch="312" w:charSpace="0"/>
        </w:sectPr>
      </w:pPr>
    </w:p>
    <w:p w14:paraId="3DC672AC">
      <w:pPr>
        <w:pStyle w:val="4"/>
        <w:keepLines/>
        <w:ind w:left="720" w:hanging="720"/>
        <w:jc w:val="center"/>
        <w:rPr>
          <w:rFonts w:hint="eastAsia"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801304E">
      <w:pPr>
        <w:autoSpaceDE w:val="0"/>
        <w:autoSpaceDN w:val="0"/>
        <w:snapToGrid w:val="0"/>
        <w:spacing w:line="560" w:lineRule="exact"/>
        <w:ind w:firstLine="480" w:firstLineChars="200"/>
        <w:rPr>
          <w:rFonts w:hint="eastAsia" w:ascii="宋体" w:hAnsi="宋体" w:eastAsia="宋体" w:cs="宋体"/>
          <w:bCs/>
          <w:sz w:val="24"/>
          <w:szCs w:val="24"/>
          <w:highlight w:val="none"/>
        </w:rPr>
      </w:pPr>
      <w:bookmarkStart w:id="9" w:name="_Toc216158625"/>
      <w:bookmarkStart w:id="10" w:name="_Toc363199266"/>
      <w:r>
        <w:rPr>
          <w:rFonts w:hint="eastAsia" w:ascii="宋体" w:hAnsi="宋体" w:eastAsia="宋体" w:cs="宋体"/>
          <w:bCs/>
          <w:sz w:val="24"/>
          <w:szCs w:val="24"/>
          <w:highlight w:val="none"/>
        </w:rPr>
        <w:t>1.满足《中华人民共和国政府采购法》第二十二条规定；</w:t>
      </w:r>
    </w:p>
    <w:p w14:paraId="625DE14E">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w:t>
      </w:r>
    </w:p>
    <w:p w14:paraId="3870B2E6">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2.1供应商具有有效的：</w:t>
      </w:r>
    </w:p>
    <w:p w14:paraId="732868DD">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（1）供应商须具备有效的建筑工程施工总承包三级及以上资质或建筑装修装饰工程专业承包二级及以上资质；</w:t>
      </w:r>
    </w:p>
    <w:p w14:paraId="4505B77C">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（2）安全生产许可证。</w:t>
      </w:r>
    </w:p>
    <w:p w14:paraId="744C735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2.2拟派项目经理具有有效的：</w:t>
      </w:r>
    </w:p>
    <w:p w14:paraId="10BCC3FB">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（1）建筑工程专业二级及以上注册建造师执业资格；</w:t>
      </w:r>
    </w:p>
    <w:p w14:paraId="1C6424F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（2）安全生产考核合格证（B类）；</w:t>
      </w:r>
    </w:p>
    <w:p w14:paraId="1E50834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（3）目前未在其他项目上任职或虽在其他项目上任职但本项目成交后能够从该项目撤离（提供书面承诺）。</w:t>
      </w:r>
    </w:p>
    <w:p w14:paraId="7BFF041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0C1192B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DFB42A5">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2392E6E2">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5.本项目不接受联合体响应。</w:t>
      </w:r>
    </w:p>
    <w:p w14:paraId="70D2C9D5">
      <w:pPr>
        <w:autoSpaceDE w:val="0"/>
        <w:autoSpaceDN w:val="0"/>
        <w:snapToGrid w:val="0"/>
        <w:spacing w:line="560" w:lineRule="exact"/>
        <w:ind w:firstLine="480" w:firstLineChars="200"/>
        <w:rPr>
          <w:rFonts w:hint="eastAsia" w:ascii="宋体" w:hAnsi="宋体" w:eastAsia="宋体" w:cs="宋体"/>
          <w:bCs/>
          <w:sz w:val="24"/>
          <w:szCs w:val="24"/>
          <w:highlight w:val="none"/>
        </w:rPr>
      </w:pPr>
    </w:p>
    <w:p w14:paraId="3887F812">
      <w:pPr>
        <w:pStyle w:val="4"/>
        <w:keepLines/>
        <w:ind w:left="720" w:hanging="720"/>
        <w:jc w:val="center"/>
        <w:rPr>
          <w:rFonts w:hint="eastAsia" w:ascii="宋体" w:hAnsi="宋体" w:eastAsia="宋体" w:cs="宋体"/>
          <w:color w:val="000000"/>
          <w:sz w:val="32"/>
          <w:highlight w:val="none"/>
        </w:rPr>
      </w:pPr>
      <w:bookmarkStart w:id="11" w:name="_Toc15000"/>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3819F60F">
      <w:pPr>
        <w:pStyle w:val="80"/>
        <w:ind w:firstLine="482" w:firstLineChars="200"/>
        <w:jc w:val="both"/>
        <w:rPr>
          <w:rFonts w:hint="eastAsia" w:cs="宋体"/>
          <w:color w:val="000000"/>
          <w:sz w:val="24"/>
          <w:szCs w:val="24"/>
          <w:highlight w:val="none"/>
        </w:rPr>
      </w:pPr>
      <w:bookmarkStart w:id="12" w:name="_Toc18651"/>
      <w:bookmarkStart w:id="13" w:name="_Toc29684"/>
      <w:bookmarkStart w:id="14" w:name="_Toc6091"/>
      <w:bookmarkStart w:id="15" w:name="_Toc30095"/>
      <w:r>
        <w:rPr>
          <w:rFonts w:hint="eastAsia" w:cs="宋体"/>
          <w:color w:val="000000"/>
          <w:sz w:val="24"/>
          <w:szCs w:val="24"/>
          <w:highlight w:val="none"/>
        </w:rPr>
        <w:t>包含不限于以下内容：</w:t>
      </w:r>
      <w:bookmarkEnd w:id="12"/>
      <w:bookmarkEnd w:id="13"/>
      <w:bookmarkEnd w:id="14"/>
      <w:bookmarkEnd w:id="15"/>
    </w:p>
    <w:p w14:paraId="743A83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（1）法定代表人身份证明书或授权委托书；</w:t>
      </w:r>
    </w:p>
    <w:p w14:paraId="4084FB1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（2）响应声明；</w:t>
      </w:r>
    </w:p>
    <w:p w14:paraId="5E60A92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（3）响应报价表；</w:t>
      </w:r>
    </w:p>
    <w:p w14:paraId="3149445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（4）供应商综合情况简介；</w:t>
      </w:r>
    </w:p>
    <w:p w14:paraId="42CF999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（5）工程量清单报价表；</w:t>
      </w:r>
    </w:p>
    <w:p w14:paraId="79D2B19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（6）涉及初步评审的相关证明材料；</w:t>
      </w:r>
    </w:p>
    <w:p w14:paraId="6854CA2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（7）书面承诺书；</w:t>
      </w:r>
    </w:p>
    <w:p w14:paraId="30768C1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（8）项目经理承诺；</w:t>
      </w:r>
    </w:p>
    <w:p w14:paraId="36ADC72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（9）涉及详细评审的证明资料；</w:t>
      </w:r>
    </w:p>
    <w:p w14:paraId="439BEE3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（10）业绩承诺函</w:t>
      </w:r>
    </w:p>
    <w:p w14:paraId="18D1E18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（11）其他证明材料。 </w:t>
      </w:r>
    </w:p>
    <w:p w14:paraId="0CC77AA3">
      <w:pPr>
        <w:pStyle w:val="80"/>
        <w:jc w:val="center"/>
        <w:rPr>
          <w:rFonts w:hint="eastAsia"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1773FECC">
      <w:pPr>
        <w:pStyle w:val="4"/>
        <w:keepLines/>
        <w:ind w:left="720" w:hanging="720"/>
        <w:jc w:val="center"/>
        <w:rPr>
          <w:rFonts w:hint="eastAsia" w:ascii="宋体" w:hAnsi="宋体" w:eastAsia="宋体" w:cs="宋体"/>
          <w:color w:val="000000"/>
          <w:sz w:val="24"/>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2DE37EAD">
      <w:p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17" w:name="_Toc363199267"/>
      <w:bookmarkStart w:id="18" w:name="_Toc6149"/>
      <w:bookmarkStart w:id="19" w:name="_Toc216158627"/>
      <w:r>
        <w:rPr>
          <w:rFonts w:hint="eastAsia" w:ascii="宋体" w:hAnsi="宋体" w:eastAsia="宋体" w:cs="宋体"/>
          <w:b/>
          <w:color w:val="000000"/>
          <w:sz w:val="24"/>
          <w:szCs w:val="28"/>
          <w:highlight w:val="none"/>
        </w:rPr>
        <w:t>一、项目概况</w:t>
      </w:r>
    </w:p>
    <w:p w14:paraId="37FB75C6">
      <w:pPr>
        <w:adjustRightInd w:val="0"/>
        <w:snapToGrid w:val="0"/>
        <w:spacing w:line="360" w:lineRule="auto"/>
        <w:ind w:firstLine="480" w:firstLineChars="200"/>
        <w:rPr>
          <w:rFonts w:hint="eastAsia" w:ascii="宋体" w:hAnsi="宋体" w:eastAsia="宋体" w:cs="宋体"/>
          <w:color w:val="000000"/>
          <w:sz w:val="24"/>
          <w:szCs w:val="28"/>
          <w:highlight w:val="none"/>
        </w:rPr>
      </w:pPr>
      <w:bookmarkStart w:id="20" w:name="OLE_LINK16"/>
      <w:bookmarkStart w:id="21" w:name="OLE_LINK17"/>
      <w:r>
        <w:rPr>
          <w:rFonts w:hint="eastAsia" w:ascii="宋体" w:hAnsi="宋体" w:eastAsia="宋体" w:cs="宋体"/>
          <w:color w:val="000000"/>
          <w:sz w:val="24"/>
          <w:szCs w:val="28"/>
          <w:highlight w:val="none"/>
        </w:rPr>
        <w:t>超光谱智能感知技术创新团队实验室正在建设中，现有场地环境不符合光电实验室要求。需按科研用途进行吊顶和墙面粉刷等环境改造，以满足超光谱智能感知技术创新团队人员入驻开展实验的工作需要。</w:t>
      </w:r>
    </w:p>
    <w:p w14:paraId="52038995">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项目采购的吊顶主要用于科研团队实验环境空间的基本建设。一方面，采用的石膏板与铝方通吊顶结构能够有效实现天花板空间的结构优化与功能分区，是后续安装通风、照明、监控等实验支撑系统。另一方面，满足科研实验室对室内环境稳定性（如洁净度、噪声控制、空间布局）的要求。</w:t>
      </w:r>
    </w:p>
    <w:p w14:paraId="616B1986">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二、工程量清单</w:t>
      </w:r>
    </w:p>
    <w:bookmarkEnd w:id="20"/>
    <w:bookmarkEnd w:id="21"/>
    <w:p w14:paraId="62660CDE">
      <w:pPr>
        <w:adjustRightInd w:val="0"/>
        <w:snapToGrid w:val="0"/>
        <w:spacing w:line="360" w:lineRule="auto"/>
        <w:ind w:firstLine="480" w:firstLineChars="200"/>
        <w:rPr>
          <w:rFonts w:ascii="宋体" w:hAnsi="宋体" w:eastAsia="宋体" w:cs="宋体"/>
          <w:b w:val="0"/>
          <w:color w:val="000000"/>
          <w:sz w:val="24"/>
          <w:szCs w:val="28"/>
          <w:highlight w:val="none"/>
        </w:rPr>
      </w:pPr>
      <w:r>
        <w:rPr>
          <w:rFonts w:ascii="宋体" w:hAnsi="宋体" w:eastAsia="宋体" w:cs="宋体"/>
          <w:b w:val="0"/>
          <w:color w:val="000000"/>
          <w:sz w:val="24"/>
          <w:szCs w:val="28"/>
          <w:highlight w:val="none"/>
        </w:rPr>
        <w:t>1</w:t>
      </w:r>
      <w:r>
        <w:rPr>
          <w:rFonts w:hint="eastAsia" w:ascii="宋体" w:hAnsi="宋体" w:eastAsia="宋体" w:cs="宋体"/>
          <w:b w:val="0"/>
          <w:color w:val="000000"/>
          <w:sz w:val="24"/>
          <w:szCs w:val="28"/>
          <w:highlight w:val="none"/>
        </w:rPr>
        <w:t>、石背板</w:t>
      </w:r>
      <w:r>
        <w:rPr>
          <w:rFonts w:hint="eastAsia" w:ascii="宋体" w:hAnsi="宋体" w:eastAsia="宋体" w:cs="宋体"/>
          <w:color w:val="000000"/>
          <w:sz w:val="24"/>
          <w:szCs w:val="28"/>
          <w:highlight w:val="none"/>
        </w:rPr>
        <w:t>造型</w:t>
      </w:r>
      <w:r>
        <w:rPr>
          <w:rFonts w:hint="eastAsia" w:ascii="宋体" w:hAnsi="宋体" w:eastAsia="宋体" w:cs="宋体"/>
          <w:b w:val="0"/>
          <w:color w:val="000000"/>
          <w:sz w:val="24"/>
          <w:szCs w:val="28"/>
          <w:highlight w:val="none"/>
        </w:rPr>
        <w:t>吊顶</w:t>
      </w:r>
      <w:r>
        <w:rPr>
          <w:rFonts w:hint="eastAsia" w:ascii="宋体" w:hAnsi="宋体" w:eastAsia="宋体" w:cs="宋体"/>
          <w:color w:val="000000"/>
          <w:sz w:val="24"/>
          <w:szCs w:val="28"/>
          <w:highlight w:val="none"/>
        </w:rPr>
        <w:t>（铝方通边吊）</w:t>
      </w:r>
      <w:r>
        <w:rPr>
          <w:rFonts w:hint="eastAsia" w:ascii="宋体" w:hAnsi="宋体" w:eastAsia="宋体" w:cs="宋体"/>
          <w:b w:val="0"/>
          <w:color w:val="000000"/>
          <w:sz w:val="24"/>
          <w:szCs w:val="28"/>
          <w:highlight w:val="none"/>
        </w:rPr>
        <w:t>：</w:t>
      </w:r>
      <w:r>
        <w:rPr>
          <w:rFonts w:ascii="宋体" w:hAnsi="宋体" w:eastAsia="宋体" w:cs="宋体"/>
          <w:b w:val="0"/>
          <w:color w:val="000000"/>
          <w:sz w:val="24"/>
          <w:szCs w:val="28"/>
          <w:highlight w:val="none"/>
        </w:rPr>
        <w:t>38</w:t>
      </w:r>
      <w:r>
        <w:rPr>
          <w:rFonts w:hint="eastAsia" w:ascii="宋体" w:hAnsi="宋体" w:eastAsia="宋体" w:cs="宋体"/>
          <w:b w:val="0"/>
          <w:color w:val="000000"/>
          <w:sz w:val="24"/>
          <w:szCs w:val="28"/>
          <w:highlight w:val="none"/>
        </w:rPr>
        <w:t>系列主龙</w:t>
      </w:r>
      <w:r>
        <w:rPr>
          <w:rFonts w:hint="eastAsia" w:ascii="宋体" w:hAnsi="宋体" w:eastAsia="宋体" w:cs="宋体"/>
          <w:b w:val="0"/>
          <w:color w:val="000000"/>
          <w:sz w:val="24"/>
          <w:szCs w:val="28"/>
          <w:highlight w:val="none"/>
          <w:lang w:val="en-US" w:eastAsia="zh-CN"/>
        </w:rPr>
        <w:t>骨</w:t>
      </w:r>
      <w:r>
        <w:rPr>
          <w:rFonts w:ascii="宋体" w:hAnsi="宋体" w:eastAsia="宋体" w:cs="宋体"/>
          <w:b w:val="0"/>
          <w:color w:val="000000"/>
          <w:sz w:val="24"/>
          <w:szCs w:val="28"/>
          <w:highlight w:val="none"/>
        </w:rPr>
        <w:t>0.8mm</w:t>
      </w:r>
      <w:r>
        <w:rPr>
          <w:rFonts w:hint="eastAsia" w:ascii="宋体" w:hAnsi="宋体" w:eastAsia="宋体" w:cs="宋体"/>
          <w:b w:val="0"/>
          <w:color w:val="000000"/>
          <w:sz w:val="24"/>
          <w:szCs w:val="28"/>
          <w:highlight w:val="none"/>
        </w:rPr>
        <w:t>厚</w:t>
      </w:r>
      <w:r>
        <w:rPr>
          <w:rFonts w:hint="eastAsia" w:ascii="宋体" w:hAnsi="宋体" w:eastAsia="宋体" w:cs="宋体"/>
          <w:b w:val="0"/>
          <w:color w:val="000000"/>
          <w:sz w:val="24"/>
          <w:szCs w:val="28"/>
          <w:highlight w:val="none"/>
          <w:lang w:val="en-US" w:eastAsia="zh-CN"/>
        </w:rPr>
        <w:t>间距</w:t>
      </w:r>
      <w:r>
        <w:rPr>
          <w:rFonts w:ascii="宋体" w:hAnsi="宋体" w:eastAsia="宋体" w:cs="宋体"/>
          <w:b w:val="0"/>
          <w:color w:val="000000"/>
          <w:sz w:val="24"/>
          <w:szCs w:val="28"/>
          <w:highlight w:val="none"/>
        </w:rPr>
        <w:t>900</w:t>
      </w:r>
      <w:r>
        <w:rPr>
          <w:rFonts w:hint="eastAsia" w:ascii="宋体" w:hAnsi="宋体" w:eastAsia="宋体" w:cs="宋体"/>
          <w:b w:val="0"/>
          <w:color w:val="000000"/>
          <w:sz w:val="24"/>
          <w:szCs w:val="28"/>
          <w:highlight w:val="none"/>
        </w:rPr>
        <w:t>，</w:t>
      </w:r>
      <w:r>
        <w:rPr>
          <w:rFonts w:ascii="宋体" w:hAnsi="宋体" w:eastAsia="宋体" w:cs="宋体"/>
          <w:b w:val="0"/>
          <w:color w:val="000000"/>
          <w:sz w:val="24"/>
          <w:szCs w:val="28"/>
          <w:highlight w:val="none"/>
        </w:rPr>
        <w:t>50</w:t>
      </w:r>
      <w:r>
        <w:rPr>
          <w:rFonts w:hint="eastAsia" w:ascii="宋体" w:hAnsi="宋体" w:eastAsia="宋体" w:cs="宋体"/>
          <w:b w:val="0"/>
          <w:color w:val="000000"/>
          <w:sz w:val="24"/>
          <w:szCs w:val="28"/>
          <w:highlight w:val="none"/>
        </w:rPr>
        <w:t>副龙骨</w:t>
      </w:r>
      <w:r>
        <w:rPr>
          <w:rFonts w:ascii="宋体" w:hAnsi="宋体" w:eastAsia="宋体" w:cs="宋体"/>
          <w:b w:val="0"/>
          <w:color w:val="000000"/>
          <w:sz w:val="24"/>
          <w:szCs w:val="28"/>
          <w:highlight w:val="none"/>
        </w:rPr>
        <w:t>0.5mm</w:t>
      </w:r>
      <w:r>
        <w:rPr>
          <w:rFonts w:hint="eastAsia" w:ascii="宋体" w:hAnsi="宋体" w:eastAsia="宋体" w:cs="宋体"/>
          <w:b w:val="0"/>
          <w:color w:val="000000"/>
          <w:sz w:val="24"/>
          <w:szCs w:val="28"/>
          <w:highlight w:val="none"/>
        </w:rPr>
        <w:t>厚间</w:t>
      </w:r>
      <w:r>
        <w:rPr>
          <w:rFonts w:hint="eastAsia" w:ascii="宋体" w:hAnsi="宋体" w:eastAsia="宋体" w:cs="宋体"/>
          <w:b w:val="0"/>
          <w:color w:val="000000"/>
          <w:sz w:val="24"/>
          <w:szCs w:val="28"/>
          <w:highlight w:val="none"/>
          <w:lang w:val="en-US" w:eastAsia="zh-CN"/>
        </w:rPr>
        <w:t>距</w:t>
      </w:r>
      <w:r>
        <w:rPr>
          <w:rFonts w:ascii="宋体" w:hAnsi="宋体" w:eastAsia="宋体" w:cs="宋体"/>
          <w:b w:val="0"/>
          <w:color w:val="000000"/>
          <w:sz w:val="24"/>
          <w:szCs w:val="28"/>
          <w:highlight w:val="none"/>
        </w:rPr>
        <w:t>300</w:t>
      </w:r>
      <w:r>
        <w:rPr>
          <w:rFonts w:hint="eastAsia" w:ascii="宋体" w:hAnsi="宋体" w:eastAsia="宋体" w:cs="宋体"/>
          <w:b w:val="0"/>
          <w:color w:val="000000"/>
          <w:sz w:val="24"/>
          <w:szCs w:val="28"/>
          <w:highlight w:val="none"/>
        </w:rPr>
        <w:t>，</w:t>
      </w:r>
      <w:r>
        <w:rPr>
          <w:rFonts w:ascii="宋体" w:hAnsi="宋体" w:eastAsia="宋体" w:cs="宋体"/>
          <w:b w:val="0"/>
          <w:color w:val="000000"/>
          <w:sz w:val="24"/>
          <w:szCs w:val="28"/>
          <w:highlight w:val="none"/>
        </w:rPr>
        <w:t>9.5mm</w:t>
      </w:r>
      <w:r>
        <w:rPr>
          <w:rFonts w:hint="eastAsia" w:ascii="宋体" w:hAnsi="宋体" w:eastAsia="宋体" w:cs="宋体"/>
          <w:b w:val="0"/>
          <w:color w:val="000000"/>
          <w:sz w:val="24"/>
          <w:szCs w:val="28"/>
          <w:highlight w:val="none"/>
        </w:rPr>
        <w:t>国标</w:t>
      </w:r>
      <w:r>
        <w:rPr>
          <w:rFonts w:hint="eastAsia" w:ascii="宋体" w:hAnsi="宋体" w:eastAsia="宋体" w:cs="宋体"/>
          <w:b w:val="0"/>
          <w:color w:val="000000"/>
          <w:sz w:val="24"/>
          <w:szCs w:val="28"/>
          <w:highlight w:val="none"/>
          <w:lang w:val="en-US" w:eastAsia="zh-CN"/>
        </w:rPr>
        <w:t>石膏板</w:t>
      </w:r>
      <w:r>
        <w:rPr>
          <w:rFonts w:hint="eastAsia" w:ascii="宋体" w:hAnsi="宋体" w:eastAsia="宋体" w:cs="宋体"/>
          <w:b w:val="0"/>
          <w:color w:val="000000"/>
          <w:sz w:val="24"/>
          <w:szCs w:val="28"/>
          <w:highlight w:val="none"/>
        </w:rPr>
        <w:t>。国标轻钢龙骨，吊顶总面积约</w:t>
      </w:r>
      <w:r>
        <w:rPr>
          <w:rFonts w:ascii="宋体" w:hAnsi="宋体" w:eastAsia="宋体" w:cs="宋体"/>
          <w:b w:val="0"/>
          <w:color w:val="000000"/>
          <w:sz w:val="24"/>
          <w:szCs w:val="28"/>
          <w:highlight w:val="none"/>
        </w:rPr>
        <w:t>450</w:t>
      </w:r>
      <w:r>
        <w:rPr>
          <w:rFonts w:hint="eastAsia" w:ascii="宋体" w:hAnsi="宋体" w:eastAsia="宋体" w:cs="宋体"/>
          <w:b w:val="0"/>
          <w:color w:val="000000"/>
          <w:sz w:val="24"/>
          <w:szCs w:val="28"/>
          <w:highlight w:val="none"/>
        </w:rPr>
        <w:t>平方。</w:t>
      </w:r>
    </w:p>
    <w:p w14:paraId="63665B84">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ascii="宋体" w:hAnsi="宋体" w:eastAsia="宋体" w:cs="宋体"/>
          <w:b w:val="0"/>
          <w:color w:val="000000"/>
          <w:sz w:val="24"/>
          <w:szCs w:val="28"/>
          <w:highlight w:val="none"/>
        </w:rPr>
        <w:t>2</w:t>
      </w:r>
      <w:r>
        <w:rPr>
          <w:rFonts w:hint="eastAsia" w:ascii="宋体" w:hAnsi="宋体" w:eastAsia="宋体" w:cs="宋体"/>
          <w:b w:val="0"/>
          <w:color w:val="000000"/>
          <w:sz w:val="24"/>
          <w:szCs w:val="28"/>
          <w:highlight w:val="none"/>
        </w:rPr>
        <w:t>、</w:t>
      </w:r>
      <w:r>
        <w:rPr>
          <w:rFonts w:hint="eastAsia" w:ascii="宋体" w:hAnsi="宋体" w:eastAsia="宋体" w:cs="宋体"/>
          <w:color w:val="000000"/>
          <w:sz w:val="24"/>
          <w:szCs w:val="28"/>
          <w:highlight w:val="none"/>
        </w:rPr>
        <w:t>铝</w:t>
      </w:r>
      <w:r>
        <w:rPr>
          <w:rFonts w:hint="eastAsia" w:ascii="宋体" w:hAnsi="宋体" w:eastAsia="宋体" w:cs="宋体"/>
          <w:b w:val="0"/>
          <w:color w:val="000000"/>
          <w:sz w:val="24"/>
          <w:szCs w:val="28"/>
          <w:highlight w:val="none"/>
        </w:rPr>
        <w:t>方通吊顶：</w:t>
      </w:r>
      <w:r>
        <w:rPr>
          <w:rFonts w:ascii="宋体" w:hAnsi="宋体" w:eastAsia="宋体" w:cs="宋体"/>
          <w:b w:val="0"/>
          <w:color w:val="000000"/>
          <w:sz w:val="24"/>
          <w:szCs w:val="28"/>
          <w:highlight w:val="none"/>
        </w:rPr>
        <w:t>8mm</w:t>
      </w:r>
      <w:r>
        <w:rPr>
          <w:rFonts w:hint="eastAsia" w:ascii="宋体" w:hAnsi="宋体" w:eastAsia="宋体" w:cs="宋体"/>
          <w:b w:val="0"/>
          <w:color w:val="000000"/>
          <w:sz w:val="24"/>
          <w:szCs w:val="28"/>
          <w:highlight w:val="none"/>
        </w:rPr>
        <w:t>吊筋，</w:t>
      </w:r>
      <w:r>
        <w:rPr>
          <w:rFonts w:hint="eastAsia" w:ascii="宋体" w:hAnsi="宋体" w:eastAsia="宋体" w:cs="宋体"/>
          <w:color w:val="000000"/>
          <w:sz w:val="24"/>
          <w:szCs w:val="28"/>
          <w:highlight w:val="none"/>
        </w:rPr>
        <w:t>4</w:t>
      </w:r>
      <w:r>
        <w:rPr>
          <w:rFonts w:ascii="宋体" w:hAnsi="宋体" w:eastAsia="宋体" w:cs="宋体"/>
          <w:b w:val="0"/>
          <w:color w:val="000000"/>
          <w:sz w:val="24"/>
          <w:szCs w:val="28"/>
          <w:highlight w:val="none"/>
        </w:rPr>
        <w:t>0*100mm,</w:t>
      </w:r>
      <w:r>
        <w:rPr>
          <w:rFonts w:hint="eastAsia" w:ascii="宋体" w:hAnsi="宋体" w:eastAsia="宋体" w:cs="宋体"/>
          <w:b w:val="0"/>
          <w:color w:val="000000"/>
          <w:sz w:val="24"/>
          <w:szCs w:val="28"/>
          <w:highlight w:val="none"/>
        </w:rPr>
        <w:t>厚</w:t>
      </w:r>
      <w:r>
        <w:rPr>
          <w:rFonts w:ascii="宋体" w:hAnsi="宋体" w:eastAsia="宋体" w:cs="宋体"/>
          <w:b w:val="0"/>
          <w:color w:val="000000"/>
          <w:sz w:val="24"/>
          <w:szCs w:val="28"/>
          <w:highlight w:val="none"/>
        </w:rPr>
        <w:t>0.4mm,</w:t>
      </w:r>
      <w:r>
        <w:rPr>
          <w:rFonts w:hint="eastAsia" w:ascii="宋体" w:hAnsi="宋体" w:eastAsia="宋体" w:cs="宋体"/>
          <w:b w:val="0"/>
          <w:color w:val="000000"/>
          <w:sz w:val="24"/>
          <w:szCs w:val="28"/>
          <w:highlight w:val="none"/>
        </w:rPr>
        <w:t>间距</w:t>
      </w:r>
      <w:r>
        <w:rPr>
          <w:rFonts w:ascii="宋体" w:hAnsi="宋体" w:eastAsia="宋体" w:cs="宋体"/>
          <w:b w:val="0"/>
          <w:color w:val="000000"/>
          <w:sz w:val="24"/>
          <w:szCs w:val="28"/>
          <w:highlight w:val="none"/>
        </w:rPr>
        <w:t>150mm</w:t>
      </w:r>
      <w:r>
        <w:rPr>
          <w:rFonts w:hint="eastAsia" w:ascii="宋体" w:hAnsi="宋体" w:eastAsia="宋体" w:cs="宋体"/>
          <w:b w:val="0"/>
          <w:color w:val="000000"/>
          <w:sz w:val="24"/>
          <w:szCs w:val="28"/>
          <w:highlight w:val="none"/>
        </w:rPr>
        <w:t>（</w:t>
      </w:r>
      <w:r>
        <w:rPr>
          <w:rFonts w:hint="eastAsia" w:ascii="宋体" w:hAnsi="宋体" w:eastAsia="宋体" w:cs="宋体"/>
          <w:color w:val="000000"/>
          <w:sz w:val="24"/>
          <w:szCs w:val="28"/>
          <w:highlight w:val="none"/>
        </w:rPr>
        <w:t>国</w:t>
      </w:r>
      <w:r>
        <w:rPr>
          <w:rFonts w:hint="eastAsia" w:ascii="宋体" w:hAnsi="宋体" w:eastAsia="宋体" w:cs="宋体"/>
          <w:b w:val="0"/>
          <w:color w:val="000000"/>
          <w:sz w:val="24"/>
          <w:szCs w:val="28"/>
          <w:highlight w:val="none"/>
        </w:rPr>
        <w:t>标），吊顶总面积约</w:t>
      </w:r>
      <w:r>
        <w:rPr>
          <w:rFonts w:ascii="宋体" w:hAnsi="宋体" w:eastAsia="宋体" w:cs="宋体"/>
          <w:b w:val="0"/>
          <w:color w:val="000000"/>
          <w:sz w:val="24"/>
          <w:szCs w:val="28"/>
          <w:highlight w:val="none"/>
        </w:rPr>
        <w:t>1160</w:t>
      </w:r>
      <w:r>
        <w:rPr>
          <w:rFonts w:hint="eastAsia" w:ascii="宋体" w:hAnsi="宋体" w:eastAsia="宋体" w:cs="宋体"/>
          <w:b w:val="0"/>
          <w:color w:val="000000"/>
          <w:sz w:val="24"/>
          <w:szCs w:val="28"/>
          <w:highlight w:val="none"/>
        </w:rPr>
        <w:t>平方。</w:t>
      </w:r>
    </w:p>
    <w:p w14:paraId="7B719E6B">
      <w:pPr>
        <w:adjustRightInd w:val="0"/>
        <w:snapToGrid w:val="0"/>
        <w:spacing w:line="360" w:lineRule="auto"/>
        <w:ind w:firstLine="480" w:firstLineChars="200"/>
        <w:rPr>
          <w:rFonts w:ascii="宋体" w:hAnsi="宋体" w:eastAsia="宋体" w:cs="宋体"/>
          <w:b w:val="0"/>
          <w:color w:val="000000"/>
          <w:sz w:val="24"/>
          <w:szCs w:val="28"/>
          <w:highlight w:val="none"/>
        </w:rPr>
      </w:pPr>
      <w:r>
        <w:rPr>
          <w:rFonts w:hint="eastAsia" w:ascii="宋体" w:hAnsi="宋体" w:eastAsia="宋体" w:cs="宋体"/>
          <w:color w:val="000000"/>
          <w:sz w:val="24"/>
          <w:szCs w:val="28"/>
          <w:highlight w:val="none"/>
        </w:rPr>
        <w:t>3、窗帘盒：宽30cm,深20cm，15mm厚木工板基层（需检测报告，满足设计施工要求），刷防火涂料三层、9.5mm厚双层石膏板面层，总面积约200米。</w:t>
      </w:r>
    </w:p>
    <w:p w14:paraId="0A95ED96">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4</w:t>
      </w:r>
      <w:r>
        <w:rPr>
          <w:rFonts w:ascii="宋体" w:hAnsi="宋体" w:eastAsia="宋体" w:cs="宋体"/>
          <w:b w:val="0"/>
          <w:color w:val="000000"/>
          <w:sz w:val="24"/>
          <w:szCs w:val="28"/>
          <w:highlight w:val="none"/>
        </w:rPr>
        <w:t>.</w:t>
      </w:r>
      <w:r>
        <w:rPr>
          <w:rFonts w:hint="eastAsia" w:ascii="宋体" w:hAnsi="宋体" w:eastAsia="宋体" w:cs="宋体"/>
          <w:b w:val="0"/>
          <w:color w:val="000000"/>
          <w:sz w:val="24"/>
          <w:szCs w:val="28"/>
          <w:highlight w:val="none"/>
        </w:rPr>
        <w:t>批刮腻子基层：采用成品腻子粉、界面剂</w:t>
      </w:r>
      <w:r>
        <w:rPr>
          <w:rFonts w:hint="eastAsia" w:ascii="宋体" w:hAnsi="宋体" w:eastAsia="宋体" w:cs="宋体"/>
          <w:color w:val="000000"/>
          <w:sz w:val="24"/>
          <w:szCs w:val="28"/>
          <w:highlight w:val="none"/>
        </w:rPr>
        <w:t>拉法基</w:t>
      </w:r>
      <w:r>
        <w:rPr>
          <w:rFonts w:hint="eastAsia" w:ascii="宋体" w:hAnsi="宋体" w:eastAsia="宋体" w:cs="宋体"/>
          <w:b w:val="0"/>
          <w:color w:val="000000"/>
          <w:sz w:val="24"/>
          <w:szCs w:val="28"/>
          <w:highlight w:val="none"/>
        </w:rPr>
        <w:t>，用于清理基层，修补，砂纸打磨。总面积约为</w:t>
      </w:r>
      <w:r>
        <w:rPr>
          <w:rFonts w:hint="eastAsia" w:ascii="宋体" w:hAnsi="宋体" w:eastAsia="宋体" w:cs="宋体"/>
          <w:color w:val="000000"/>
          <w:sz w:val="24"/>
          <w:szCs w:val="28"/>
          <w:highlight w:val="none"/>
        </w:rPr>
        <w:t>800</w:t>
      </w:r>
      <w:r>
        <w:rPr>
          <w:rFonts w:hint="eastAsia" w:ascii="宋体" w:hAnsi="宋体" w:eastAsia="宋体" w:cs="宋体"/>
          <w:b w:val="0"/>
          <w:color w:val="000000"/>
          <w:sz w:val="24"/>
          <w:szCs w:val="28"/>
          <w:highlight w:val="none"/>
        </w:rPr>
        <w:t>平方</w:t>
      </w:r>
      <w:r>
        <w:rPr>
          <w:rFonts w:hint="eastAsia" w:ascii="宋体" w:hAnsi="宋体" w:eastAsia="宋体" w:cs="宋体"/>
          <w:color w:val="000000"/>
          <w:sz w:val="24"/>
          <w:szCs w:val="28"/>
          <w:highlight w:val="none"/>
        </w:rPr>
        <w:t>。</w:t>
      </w:r>
    </w:p>
    <w:p w14:paraId="08A1D50E">
      <w:pPr>
        <w:pStyle w:val="2"/>
        <w:ind w:left="0" w:firstLine="480" w:firstLineChars="20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eastAsia="zh-CN"/>
        </w:rPr>
        <w:t>5</w:t>
      </w:r>
      <w:r>
        <w:rPr>
          <w:rFonts w:hint="eastAsia" w:ascii="宋体" w:hAnsi="宋体" w:eastAsia="宋体" w:cs="宋体"/>
          <w:color w:val="000000"/>
          <w:sz w:val="24"/>
          <w:szCs w:val="28"/>
          <w:highlight w:val="none"/>
        </w:rPr>
        <w:t>、顶面乳胶漆涂刷</w:t>
      </w:r>
      <w:r>
        <w:rPr>
          <w:rFonts w:hint="eastAsia" w:ascii="宋体" w:hAnsi="宋体" w:eastAsia="宋体" w:cs="宋体"/>
          <w:color w:val="000000"/>
          <w:sz w:val="24"/>
          <w:szCs w:val="28"/>
          <w:highlight w:val="none"/>
          <w:lang w:eastAsia="zh-CN"/>
        </w:rPr>
        <w:t>：工程乳胶漆，面漆两遍，总面积约为800平方。</w:t>
      </w:r>
    </w:p>
    <w:p w14:paraId="2CFF94CB">
      <w:pPr>
        <w:pStyle w:val="2"/>
        <w:ind w:left="0" w:firstLine="48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eastAsia="zh-CN"/>
        </w:rPr>
        <w:t>6</w:t>
      </w:r>
      <w:r>
        <w:rPr>
          <w:rFonts w:hint="eastAsia" w:ascii="宋体" w:hAnsi="宋体" w:eastAsia="宋体" w:cs="宋体"/>
          <w:color w:val="000000"/>
          <w:sz w:val="24"/>
          <w:szCs w:val="28"/>
          <w:highlight w:val="none"/>
        </w:rPr>
        <w:t>、120mm轻钢龙骨隔墙</w:t>
      </w:r>
      <w:r>
        <w:rPr>
          <w:rFonts w:hint="eastAsia" w:ascii="宋体" w:hAnsi="宋体" w:eastAsia="宋体" w:cs="宋体"/>
          <w:color w:val="000000"/>
          <w:sz w:val="24"/>
          <w:szCs w:val="28"/>
          <w:highlight w:val="none"/>
          <w:lang w:eastAsia="zh-CN"/>
        </w:rPr>
        <w:t>：轻钢龙骨石膏板隔墙（双层双面石膏板加隔音棉），总面积约为145平方。</w:t>
      </w:r>
    </w:p>
    <w:p w14:paraId="68D0A217">
      <w:pPr>
        <w:pStyle w:val="2"/>
        <w:ind w:left="0" w:firstLine="48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eastAsia="zh-CN"/>
        </w:rPr>
        <w:t>7</w:t>
      </w:r>
      <w:r>
        <w:rPr>
          <w:rFonts w:hint="eastAsia" w:ascii="宋体" w:hAnsi="宋体" w:eastAsia="宋体" w:cs="宋体"/>
          <w:color w:val="000000"/>
          <w:sz w:val="24"/>
          <w:szCs w:val="28"/>
          <w:highlight w:val="none"/>
        </w:rPr>
        <w:t>、包管道</w:t>
      </w:r>
      <w:r>
        <w:rPr>
          <w:rFonts w:hint="eastAsia" w:ascii="宋体" w:hAnsi="宋体" w:eastAsia="宋体" w:cs="宋体"/>
          <w:color w:val="000000"/>
          <w:sz w:val="24"/>
          <w:szCs w:val="28"/>
          <w:highlight w:val="none"/>
          <w:lang w:eastAsia="zh-CN"/>
        </w:rPr>
        <w:t>：轻钢龙骨，阻燃版基层，石膏板，总数量22个。</w:t>
      </w:r>
    </w:p>
    <w:p w14:paraId="4E9EB49C">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注：本项目为全费用综合单价报价。上述清单中材料中转及搬运费（含材料运输）、垃圾清运费（含处理费）、保洁费等未单独列项，供应商需考虑进综合单价中。全费用综合单价包含但不限于完成采购文件、图纸、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p>
    <w:p w14:paraId="703ABAB3">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三、工程建设标准及依据</w:t>
      </w:r>
    </w:p>
    <w:p w14:paraId="25C676D4">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按照图纸、工程量清单要求及最新国家相关标准、规范要求执行。</w:t>
      </w:r>
    </w:p>
    <w:p w14:paraId="1F27D24D">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四、主要材料的技术要求</w:t>
      </w:r>
    </w:p>
    <w:p w14:paraId="2B5DAF39">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本采购工程项目的材料、设备、施工须达到现行中华人民共和国以及安徽省、合肥市或行业的有关工程建设标准、规范和设计文件的要求。</w:t>
      </w:r>
    </w:p>
    <w:p w14:paraId="4FC2EB16">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五、相关要求</w:t>
      </w:r>
    </w:p>
    <w:p w14:paraId="293C0263">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供应商在递交响应文件前自行到现场仔细踏勘,踏勘现场及周边环境,充分了解项目情况,并对踏勘结果负责，考虑存在的风险，日后不得以“踏勘失误”为借口等任何理由提出变更（成交后承担由此产生的有关风险）。</w:t>
      </w:r>
    </w:p>
    <w:p w14:paraId="3DB605C4">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2.报价要求</w:t>
      </w:r>
    </w:p>
    <w:p w14:paraId="100BB35A">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响应报价包括采购文件、图纸及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p>
    <w:p w14:paraId="021B1DC8">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lang w:val="en-US" w:eastAsia="zh-CN"/>
        </w:rPr>
        <w:t>六</w:t>
      </w:r>
      <w:r>
        <w:rPr>
          <w:rFonts w:hint="eastAsia" w:ascii="宋体" w:hAnsi="宋体" w:eastAsia="宋体" w:cs="宋体"/>
          <w:b/>
          <w:color w:val="000000"/>
          <w:sz w:val="24"/>
          <w:szCs w:val="28"/>
          <w:highlight w:val="none"/>
        </w:rPr>
        <w:t>、图纸</w:t>
      </w:r>
    </w:p>
    <w:p w14:paraId="7207C053">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详见采购文件附件</w:t>
      </w:r>
    </w:p>
    <w:p w14:paraId="206385AF">
      <w:pPr>
        <w:spacing w:line="360" w:lineRule="auto"/>
        <w:ind w:firstLine="640" w:firstLineChars="200"/>
        <w:rPr>
          <w:rFonts w:hint="eastAsia" w:ascii="宋体" w:hAnsi="宋体" w:eastAsia="宋体" w:cs="宋体"/>
          <w:color w:val="000000"/>
          <w:sz w:val="32"/>
          <w:highlight w:val="none"/>
        </w:rPr>
      </w:pPr>
    </w:p>
    <w:p w14:paraId="0BA78CB8">
      <w:pPr>
        <w:rPr>
          <w:rFonts w:hint="eastAsia" w:ascii="宋体" w:hAnsi="宋体" w:eastAsia="宋体" w:cs="宋体"/>
          <w:color w:val="000000"/>
          <w:sz w:val="32"/>
          <w:highlight w:val="none"/>
        </w:rPr>
      </w:pPr>
      <w:r>
        <w:rPr>
          <w:rFonts w:ascii="宋体" w:hAnsi="宋体" w:eastAsia="宋体" w:cs="宋体"/>
          <w:color w:val="000000"/>
          <w:sz w:val="32"/>
          <w:highlight w:val="none"/>
        </w:rPr>
        <w:br w:type="page"/>
      </w:r>
    </w:p>
    <w:p w14:paraId="6490A243">
      <w:pPr>
        <w:pStyle w:val="4"/>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272AF247">
      <w:pPr>
        <w:widowControl/>
        <w:wordWrap w:val="0"/>
        <w:adjustRightInd w:val="0"/>
        <w:snapToGrid w:val="0"/>
        <w:spacing w:line="36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（一）评审办法前附表</w:t>
      </w:r>
    </w:p>
    <w:p w14:paraId="5C3C8785">
      <w:pPr>
        <w:widowControl/>
        <w:wordWrap w:val="0"/>
        <w:adjustRightInd w:val="0"/>
        <w:snapToGrid w:val="0"/>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1、初审标准（涉及初步评审的资料须提供复印件加盖供应商公章，供应商提供的资料须清晰、明确、可辨认，否则磋商小组可作出不利于供应商的决定）</w:t>
      </w:r>
    </w:p>
    <w:tbl>
      <w:tblPr>
        <w:tblStyle w:val="32"/>
        <w:tblW w:w="9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219"/>
        <w:gridCol w:w="2092"/>
        <w:gridCol w:w="3914"/>
        <w:gridCol w:w="1193"/>
      </w:tblGrid>
      <w:tr w14:paraId="41D8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Align w:val="center"/>
          </w:tcPr>
          <w:p w14:paraId="5CBA07A8">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序号</w:t>
            </w:r>
          </w:p>
        </w:tc>
        <w:tc>
          <w:tcPr>
            <w:tcW w:w="1219" w:type="dxa"/>
            <w:vAlign w:val="center"/>
          </w:tcPr>
          <w:p w14:paraId="63BF1D70">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评审项</w:t>
            </w:r>
          </w:p>
        </w:tc>
        <w:tc>
          <w:tcPr>
            <w:tcW w:w="2092" w:type="dxa"/>
            <w:vAlign w:val="center"/>
          </w:tcPr>
          <w:p w14:paraId="50E294A5">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评审因素</w:t>
            </w:r>
          </w:p>
        </w:tc>
        <w:tc>
          <w:tcPr>
            <w:tcW w:w="3914" w:type="dxa"/>
            <w:vAlign w:val="center"/>
          </w:tcPr>
          <w:p w14:paraId="7DB9E973">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评审标准</w:t>
            </w:r>
          </w:p>
        </w:tc>
        <w:tc>
          <w:tcPr>
            <w:tcW w:w="1193" w:type="dxa"/>
          </w:tcPr>
          <w:p w14:paraId="46CABA41">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备注</w:t>
            </w:r>
          </w:p>
        </w:tc>
      </w:tr>
      <w:tr w14:paraId="17B74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restart"/>
            <w:vAlign w:val="center"/>
          </w:tcPr>
          <w:p w14:paraId="0A67F36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219" w:type="dxa"/>
            <w:vMerge w:val="restart"/>
            <w:vAlign w:val="center"/>
          </w:tcPr>
          <w:p w14:paraId="3F99A41A">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形式评审</w:t>
            </w:r>
          </w:p>
        </w:tc>
        <w:tc>
          <w:tcPr>
            <w:tcW w:w="2092" w:type="dxa"/>
            <w:vAlign w:val="center"/>
          </w:tcPr>
          <w:p w14:paraId="7971BCB1">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w:t>
            </w:r>
          </w:p>
        </w:tc>
        <w:tc>
          <w:tcPr>
            <w:tcW w:w="3914" w:type="dxa"/>
            <w:vAlign w:val="center"/>
          </w:tcPr>
          <w:p w14:paraId="51CAC459">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与营业执照一致；</w:t>
            </w:r>
          </w:p>
        </w:tc>
        <w:tc>
          <w:tcPr>
            <w:tcW w:w="1193" w:type="dxa"/>
          </w:tcPr>
          <w:p w14:paraId="44872E2A">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3828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266F7DB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6E7F0309">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0BAB311B">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授权委托书</w:t>
            </w:r>
          </w:p>
        </w:tc>
        <w:tc>
          <w:tcPr>
            <w:tcW w:w="3914" w:type="dxa"/>
            <w:vAlign w:val="center"/>
          </w:tcPr>
          <w:p w14:paraId="119D4FCD">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提供授权委托书；</w:t>
            </w:r>
          </w:p>
        </w:tc>
        <w:tc>
          <w:tcPr>
            <w:tcW w:w="1193" w:type="dxa"/>
          </w:tcPr>
          <w:p w14:paraId="2909C44A">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55F12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433E33A6">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21D0EFA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E34A82A">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响应文件份数</w:t>
            </w:r>
          </w:p>
        </w:tc>
        <w:tc>
          <w:tcPr>
            <w:tcW w:w="3914" w:type="dxa"/>
            <w:vAlign w:val="center"/>
          </w:tcPr>
          <w:p w14:paraId="7A938FCE">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符合磋商文件要求；</w:t>
            </w:r>
          </w:p>
        </w:tc>
        <w:tc>
          <w:tcPr>
            <w:tcW w:w="1193" w:type="dxa"/>
          </w:tcPr>
          <w:p w14:paraId="0EBB9BBC">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4501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1B4AD37C">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57D053D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6562BD9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其它要求</w:t>
            </w:r>
          </w:p>
        </w:tc>
        <w:tc>
          <w:tcPr>
            <w:tcW w:w="3914" w:type="dxa"/>
            <w:vAlign w:val="center"/>
          </w:tcPr>
          <w:p w14:paraId="66747FBD">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磋商文件其他实质性规定。</w:t>
            </w:r>
          </w:p>
        </w:tc>
        <w:tc>
          <w:tcPr>
            <w:tcW w:w="1193" w:type="dxa"/>
          </w:tcPr>
          <w:p w14:paraId="633B6A9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68D0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66" w:type="dxa"/>
            <w:vMerge w:val="restart"/>
            <w:vAlign w:val="center"/>
          </w:tcPr>
          <w:p w14:paraId="222CC4C5">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219" w:type="dxa"/>
            <w:vMerge w:val="restart"/>
            <w:vAlign w:val="center"/>
          </w:tcPr>
          <w:p w14:paraId="7F2F013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资格评审</w:t>
            </w:r>
          </w:p>
        </w:tc>
        <w:tc>
          <w:tcPr>
            <w:tcW w:w="2092" w:type="dxa"/>
            <w:vAlign w:val="center"/>
          </w:tcPr>
          <w:p w14:paraId="65FC2D26">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供应商资格要求</w:t>
            </w:r>
          </w:p>
        </w:tc>
        <w:tc>
          <w:tcPr>
            <w:tcW w:w="3914" w:type="dxa"/>
            <w:vAlign w:val="center"/>
          </w:tcPr>
          <w:p w14:paraId="7BE39C4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1、符合《中华人民共和国政府采购法》第二十二条规定</w:t>
            </w:r>
            <w:r>
              <w:rPr>
                <w:rFonts w:hint="eastAsia" w:asciiTheme="minorEastAsia" w:hAnsiTheme="minorEastAsia" w:eastAsiaTheme="minorEastAsia" w:cstheme="minorEastAsia"/>
                <w:b/>
                <w:sz w:val="24"/>
                <w:szCs w:val="24"/>
                <w:highlight w:val="none"/>
              </w:rPr>
              <w:t>（提供书面承诺）</w:t>
            </w:r>
            <w:r>
              <w:rPr>
                <w:rFonts w:hint="eastAsia" w:asciiTheme="minorEastAsia" w:hAnsiTheme="minorEastAsia" w:eastAsiaTheme="minorEastAsia" w:cstheme="minorEastAsia"/>
                <w:sz w:val="24"/>
                <w:szCs w:val="24"/>
                <w:highlight w:val="none"/>
              </w:rPr>
              <w:t>；</w:t>
            </w:r>
          </w:p>
          <w:p w14:paraId="5FDC6A15">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2、单位负责人为同一人或者存在直接控股、管理关系的不同供应商，不得参加同一合同项下的采购活动</w:t>
            </w:r>
            <w:r>
              <w:rPr>
                <w:rFonts w:hint="eastAsia" w:asciiTheme="minorEastAsia" w:hAnsiTheme="minorEastAsia" w:eastAsiaTheme="minorEastAsia" w:cstheme="minorEastAsia"/>
                <w:b/>
                <w:sz w:val="24"/>
                <w:szCs w:val="24"/>
                <w:highlight w:val="none"/>
              </w:rPr>
              <w:t>（提供书面承诺）</w:t>
            </w:r>
            <w:r>
              <w:rPr>
                <w:rFonts w:hint="eastAsia" w:asciiTheme="minorEastAsia" w:hAnsiTheme="minorEastAsia" w:eastAsiaTheme="minorEastAsia" w:cstheme="minorEastAsia"/>
                <w:sz w:val="24"/>
                <w:szCs w:val="24"/>
                <w:highlight w:val="none"/>
              </w:rPr>
              <w:t>。</w:t>
            </w:r>
          </w:p>
        </w:tc>
        <w:tc>
          <w:tcPr>
            <w:tcW w:w="1193" w:type="dxa"/>
            <w:vAlign w:val="center"/>
          </w:tcPr>
          <w:p w14:paraId="1FE44203">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67F85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66" w:type="dxa"/>
            <w:vMerge w:val="continue"/>
            <w:vAlign w:val="center"/>
          </w:tcPr>
          <w:p w14:paraId="2216908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1A6EDFB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32FC9AAD">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供应商资质</w:t>
            </w:r>
          </w:p>
        </w:tc>
        <w:tc>
          <w:tcPr>
            <w:tcW w:w="3914" w:type="dxa"/>
            <w:vAlign w:val="center"/>
          </w:tcPr>
          <w:p w14:paraId="27C8EE03">
            <w:pPr>
              <w:wordWrap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1、供应商须具备有效的建筑工程施工</w:t>
            </w:r>
            <w:r>
              <w:rPr>
                <w:rFonts w:hint="eastAsia" w:asciiTheme="minorEastAsia" w:hAnsiTheme="minorEastAsia" w:eastAsiaTheme="minorEastAsia" w:cstheme="minorEastAsia"/>
                <w:kern w:val="0"/>
                <w:sz w:val="24"/>
                <w:szCs w:val="24"/>
                <w:highlight w:val="none"/>
              </w:rPr>
              <w:t>总承包</w:t>
            </w:r>
            <w:r>
              <w:rPr>
                <w:rFonts w:hint="eastAsia" w:asciiTheme="minorEastAsia" w:hAnsiTheme="minorEastAsia" w:eastAsiaTheme="minorEastAsia" w:cstheme="minorEastAsia"/>
                <w:sz w:val="24"/>
                <w:szCs w:val="24"/>
                <w:highlight w:val="none"/>
              </w:rPr>
              <w:t>三级及以上资质或建筑装修装饰工程专业承包二级及以上资质；</w:t>
            </w:r>
          </w:p>
          <w:p w14:paraId="77D1C0BB">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2、安全生产许可证。</w:t>
            </w:r>
          </w:p>
        </w:tc>
        <w:tc>
          <w:tcPr>
            <w:tcW w:w="1193" w:type="dxa"/>
            <w:vAlign w:val="center"/>
          </w:tcPr>
          <w:p w14:paraId="357A7112">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46E1E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66" w:type="dxa"/>
            <w:vMerge w:val="continue"/>
            <w:vAlign w:val="center"/>
          </w:tcPr>
          <w:p w14:paraId="295B01A9">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5968E24D">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5AB64BD7">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w:t>
            </w:r>
          </w:p>
        </w:tc>
        <w:tc>
          <w:tcPr>
            <w:tcW w:w="3914" w:type="dxa"/>
            <w:vAlign w:val="center"/>
          </w:tcPr>
          <w:p w14:paraId="703A641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1、建筑工程专业二级及以上注册建造师执业资格；</w:t>
            </w:r>
          </w:p>
          <w:p w14:paraId="107D62C1">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2、安全生产考核合格证（B类）。</w:t>
            </w:r>
          </w:p>
          <w:p w14:paraId="1F546271">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3、目前未在其他项目上任职或虽在其他项目上任职但本项目成交后能够从该项目撤离（提供书面承诺）</w:t>
            </w:r>
          </w:p>
          <w:p w14:paraId="33BAD34B">
            <w:pPr>
              <w:wordWrap w:val="0"/>
              <w:adjustRightInd w:val="0"/>
              <w:snapToGrid w:val="0"/>
              <w:spacing w:line="30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备注：提供证书扫描件、书面承诺函；</w:t>
            </w:r>
          </w:p>
        </w:tc>
        <w:tc>
          <w:tcPr>
            <w:tcW w:w="1193" w:type="dxa"/>
            <w:vAlign w:val="center"/>
          </w:tcPr>
          <w:p w14:paraId="1773758E">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357D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1F50ECCD">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3367DB19">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F645AB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信用要求</w:t>
            </w:r>
          </w:p>
        </w:tc>
        <w:tc>
          <w:tcPr>
            <w:tcW w:w="3914" w:type="dxa"/>
            <w:vAlign w:val="center"/>
          </w:tcPr>
          <w:p w14:paraId="70FAF135">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至响应文件递交截止时间，供应商（含其不具有独立法人资格的分支机构）存在以下不良信用记录情形之一的，不得被推荐为成交候选供应商，不得确定为成交供应商：</w:t>
            </w:r>
          </w:p>
          <w:p w14:paraId="5B481D62">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（1）被人民法院列入失信被执行人名单的；</w:t>
            </w:r>
          </w:p>
          <w:p w14:paraId="2107B1EC">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（2）被税务机关列入重大税收违法案件当事人名单的；</w:t>
            </w:r>
          </w:p>
          <w:p w14:paraId="0886F0A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（3）被财政部门列入政府采购严重违法失信名单的；</w:t>
            </w:r>
          </w:p>
          <w:p w14:paraId="1990393A">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tc>
        <w:tc>
          <w:tcPr>
            <w:tcW w:w="1193" w:type="dxa"/>
          </w:tcPr>
          <w:p w14:paraId="7479A2F7">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7787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627C782">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0442170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63E5EB61">
            <w:pPr>
              <w:pStyle w:val="97"/>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联合体</w:t>
            </w:r>
          </w:p>
        </w:tc>
        <w:tc>
          <w:tcPr>
            <w:tcW w:w="3914" w:type="dxa"/>
            <w:vAlign w:val="center"/>
          </w:tcPr>
          <w:p w14:paraId="6581C0ED">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本项目不接受联合体响应。</w:t>
            </w:r>
          </w:p>
        </w:tc>
        <w:tc>
          <w:tcPr>
            <w:tcW w:w="1193" w:type="dxa"/>
          </w:tcPr>
          <w:p w14:paraId="5BC0A702">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0307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61DE97CD">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0FA164DC">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613546F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其他要求</w:t>
            </w:r>
          </w:p>
        </w:tc>
        <w:tc>
          <w:tcPr>
            <w:tcW w:w="3914" w:type="dxa"/>
            <w:vAlign w:val="center"/>
          </w:tcPr>
          <w:p w14:paraId="3077813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磋商文件其他实质性要求。</w:t>
            </w:r>
          </w:p>
        </w:tc>
        <w:tc>
          <w:tcPr>
            <w:tcW w:w="1193" w:type="dxa"/>
          </w:tcPr>
          <w:p w14:paraId="2732DCE7">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1D08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restart"/>
            <w:vAlign w:val="center"/>
          </w:tcPr>
          <w:p w14:paraId="735D3B72">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219" w:type="dxa"/>
            <w:vMerge w:val="restart"/>
            <w:vAlign w:val="center"/>
          </w:tcPr>
          <w:p w14:paraId="2708E53B">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响应性评审</w:t>
            </w:r>
          </w:p>
        </w:tc>
        <w:tc>
          <w:tcPr>
            <w:tcW w:w="2092" w:type="dxa"/>
            <w:vAlign w:val="center"/>
          </w:tcPr>
          <w:p w14:paraId="0F42FDDF">
            <w:pPr>
              <w:adjustRightInd w:val="0"/>
              <w:snapToGrid w:val="0"/>
              <w:spacing w:before="4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响应报价</w:t>
            </w:r>
          </w:p>
        </w:tc>
        <w:tc>
          <w:tcPr>
            <w:tcW w:w="3914" w:type="dxa"/>
            <w:vAlign w:val="center"/>
          </w:tcPr>
          <w:p w14:paraId="545BD97B">
            <w:pPr>
              <w:adjustRightInd w:val="0"/>
              <w:snapToGrid w:val="0"/>
              <w:spacing w:before="4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供应商的响应总报价不得超过最高限价</w:t>
            </w:r>
          </w:p>
        </w:tc>
        <w:tc>
          <w:tcPr>
            <w:tcW w:w="1193" w:type="dxa"/>
          </w:tcPr>
          <w:p w14:paraId="1305FAA1">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33B0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78DC93E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5BE5F26C">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9E4B84E">
            <w:pPr>
              <w:adjustRightInd w:val="0"/>
              <w:snapToGrid w:val="0"/>
              <w:spacing w:before="46"/>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响应内容</w:t>
            </w:r>
          </w:p>
        </w:tc>
        <w:tc>
          <w:tcPr>
            <w:tcW w:w="3914" w:type="dxa"/>
            <w:vAlign w:val="center"/>
          </w:tcPr>
          <w:p w14:paraId="754A735D">
            <w:pPr>
              <w:adjustRightInd w:val="0"/>
              <w:snapToGrid w:val="0"/>
              <w:spacing w:before="4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1FD39AA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0859E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AD87F47">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4450EAD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5EB88ABA">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响应有效期</w:t>
            </w:r>
          </w:p>
        </w:tc>
        <w:tc>
          <w:tcPr>
            <w:tcW w:w="3914" w:type="dxa"/>
            <w:vAlign w:val="center"/>
          </w:tcPr>
          <w:p w14:paraId="38846294">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5BFADCDA">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1654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6F8ACEF5">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63BCD70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7C9C65E8">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工期</w:t>
            </w:r>
          </w:p>
        </w:tc>
        <w:tc>
          <w:tcPr>
            <w:tcW w:w="3914" w:type="dxa"/>
            <w:vAlign w:val="center"/>
          </w:tcPr>
          <w:p w14:paraId="097095B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44C51DB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0C5DA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2C7637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1B45AE65">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E30575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工程质量</w:t>
            </w:r>
          </w:p>
        </w:tc>
        <w:tc>
          <w:tcPr>
            <w:tcW w:w="3914" w:type="dxa"/>
            <w:vAlign w:val="center"/>
          </w:tcPr>
          <w:p w14:paraId="197CEEA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5C959205">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4C86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B94C4E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3D774FB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43648D07">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付款方式</w:t>
            </w:r>
          </w:p>
        </w:tc>
        <w:tc>
          <w:tcPr>
            <w:tcW w:w="3914" w:type="dxa"/>
            <w:vAlign w:val="center"/>
          </w:tcPr>
          <w:p w14:paraId="1082434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70E1298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5AE1C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tcPr>
          <w:p w14:paraId="45E0FAE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30B2299B">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5470D37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其他要求</w:t>
            </w:r>
          </w:p>
        </w:tc>
        <w:tc>
          <w:tcPr>
            <w:tcW w:w="3914" w:type="dxa"/>
            <w:vAlign w:val="center"/>
          </w:tcPr>
          <w:p w14:paraId="02C4F562">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磋商文件其他实质性要求。</w:t>
            </w:r>
          </w:p>
        </w:tc>
        <w:tc>
          <w:tcPr>
            <w:tcW w:w="1193" w:type="dxa"/>
          </w:tcPr>
          <w:p w14:paraId="699BF0B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bl>
    <w:p w14:paraId="06CD0532">
      <w:pPr>
        <w:widowControl/>
        <w:wordWrap w:val="0"/>
        <w:adjustRightInd w:val="0"/>
        <w:snapToGrid w:val="0"/>
        <w:spacing w:line="360" w:lineRule="auto"/>
        <w:rPr>
          <w:rFonts w:hint="eastAsia" w:asciiTheme="minorEastAsia" w:hAnsiTheme="minorEastAsia" w:eastAsiaTheme="minorEastAsia" w:cstheme="minorEastAsia"/>
          <w:b/>
          <w:kern w:val="0"/>
          <w:sz w:val="24"/>
          <w:szCs w:val="24"/>
          <w:highlight w:val="none"/>
        </w:rPr>
      </w:pPr>
    </w:p>
    <w:p w14:paraId="08D2E7A9">
      <w:pPr>
        <w:widowControl/>
        <w:wordWrap w:val="0"/>
        <w:adjustRightInd w:val="0"/>
        <w:snapToGrid w:val="0"/>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2、磋商程序及要求</w:t>
      </w:r>
    </w:p>
    <w:p w14:paraId="36BFD1B5">
      <w:pPr>
        <w:wordWrap w:val="0"/>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2.1初步评审合格的供应商进入两阶段磋商程序。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34"/>
        <w:gridCol w:w="7125"/>
      </w:tblGrid>
      <w:tr w14:paraId="169A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174" w:type="dxa"/>
            <w:vAlign w:val="center"/>
          </w:tcPr>
          <w:p w14:paraId="2CA107F1">
            <w:pPr>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8259" w:type="dxa"/>
            <w:gridSpan w:val="2"/>
            <w:vAlign w:val="center"/>
          </w:tcPr>
          <w:p w14:paraId="3D073BF6">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磋商程序（两阶段磋商）</w:t>
            </w:r>
          </w:p>
        </w:tc>
      </w:tr>
      <w:tr w14:paraId="6575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041C5CE9">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第一阶段</w:t>
            </w:r>
          </w:p>
        </w:tc>
        <w:tc>
          <w:tcPr>
            <w:tcW w:w="1134" w:type="dxa"/>
            <w:vAlign w:val="center"/>
          </w:tcPr>
          <w:p w14:paraId="399BCF02">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技术、服务要求方面磋商</w:t>
            </w:r>
          </w:p>
        </w:tc>
        <w:tc>
          <w:tcPr>
            <w:tcW w:w="7125" w:type="dxa"/>
            <w:vAlign w:val="center"/>
          </w:tcPr>
          <w:p w14:paraId="06C50A99">
            <w:pPr>
              <w:wordWrap w:val="0"/>
              <w:adjustRightInd w:val="0"/>
              <w:snapToGrid w:val="0"/>
              <w:spacing w:line="288"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本项目磋商文件已详细列明采购标的的技术、服务要求，磋商小组原则上不再</w:t>
            </w:r>
            <w:r>
              <w:rPr>
                <w:rFonts w:hint="eastAsia" w:asciiTheme="minorEastAsia" w:hAnsiTheme="minorEastAsia" w:eastAsiaTheme="minorEastAsia" w:cstheme="minorEastAsia"/>
                <w:kern w:val="0"/>
                <w:sz w:val="24"/>
                <w:szCs w:val="24"/>
                <w:highlight w:val="none"/>
              </w:rPr>
              <w:t>与各供应商就</w:t>
            </w:r>
            <w:r>
              <w:rPr>
                <w:rFonts w:hint="eastAsia" w:asciiTheme="minorEastAsia" w:hAnsiTheme="minorEastAsia" w:eastAsiaTheme="minorEastAsia" w:cstheme="minorEastAsia"/>
                <w:sz w:val="24"/>
                <w:szCs w:val="24"/>
                <w:highlight w:val="none"/>
              </w:rPr>
              <w:t>采购标的的技术、服务要求及拟签订的合同内容</w:t>
            </w:r>
            <w:r>
              <w:rPr>
                <w:rFonts w:hint="eastAsia" w:asciiTheme="minorEastAsia" w:hAnsiTheme="minorEastAsia" w:eastAsiaTheme="minorEastAsia" w:cstheme="minorEastAsia"/>
                <w:kern w:val="0"/>
                <w:sz w:val="24"/>
                <w:szCs w:val="24"/>
                <w:highlight w:val="none"/>
              </w:rPr>
              <w:t>进行一对一磋商。</w:t>
            </w:r>
          </w:p>
        </w:tc>
      </w:tr>
      <w:tr w14:paraId="265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74" w:type="dxa"/>
            <w:vAlign w:val="center"/>
          </w:tcPr>
          <w:p w14:paraId="5FD549C7">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第二阶段</w:t>
            </w:r>
          </w:p>
        </w:tc>
        <w:tc>
          <w:tcPr>
            <w:tcW w:w="1134" w:type="dxa"/>
            <w:vAlign w:val="center"/>
          </w:tcPr>
          <w:p w14:paraId="7261C202">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价格方面磋商</w:t>
            </w:r>
          </w:p>
        </w:tc>
        <w:tc>
          <w:tcPr>
            <w:tcW w:w="7125" w:type="dxa"/>
            <w:vAlign w:val="center"/>
          </w:tcPr>
          <w:p w14:paraId="14D37DF0">
            <w:pPr>
              <w:wordWrap w:val="0"/>
              <w:adjustRightInd w:val="0"/>
              <w:snapToGrid w:val="0"/>
              <w:spacing w:line="288" w:lineRule="auto"/>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由于本项目磋商文件已能够较详细的列明采购标的的服务方案、内容以及合同条款，在服务方案、内容以及合同条款不变的情况下，各供应商响应文件中的首轮报价即作为最终报价。</w:t>
            </w:r>
          </w:p>
        </w:tc>
      </w:tr>
    </w:tbl>
    <w:p w14:paraId="533D01E7">
      <w:pPr>
        <w:wordWrap w:val="0"/>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2.2两阶段磋商程序后，磋商小组采用综合评分法对响应文件进行综合评分。</w:t>
      </w:r>
    </w:p>
    <w:p w14:paraId="1F2B7AB1">
      <w:pPr>
        <w:widowControl/>
        <w:wordWrap w:val="0"/>
        <w:adjustRightInd w:val="0"/>
        <w:snapToGrid w:val="0"/>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3、综合评分法前附表</w:t>
      </w:r>
    </w:p>
    <w:tbl>
      <w:tblPr>
        <w:tblStyle w:val="32"/>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4"/>
        <w:gridCol w:w="6087"/>
        <w:gridCol w:w="926"/>
      </w:tblGrid>
      <w:tr w14:paraId="6756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2F71D75A">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bookmarkStart w:id="22" w:name="_Toc445554766"/>
            <w:r>
              <w:rPr>
                <w:rFonts w:hint="eastAsia" w:asciiTheme="minorEastAsia" w:hAnsiTheme="minorEastAsia" w:eastAsiaTheme="minorEastAsia" w:cstheme="minorEastAsia"/>
                <w:b/>
                <w:sz w:val="24"/>
                <w:szCs w:val="24"/>
                <w:highlight w:val="none"/>
              </w:rPr>
              <w:t>条款号</w:t>
            </w:r>
          </w:p>
        </w:tc>
        <w:tc>
          <w:tcPr>
            <w:tcW w:w="1524" w:type="dxa"/>
            <w:vAlign w:val="center"/>
          </w:tcPr>
          <w:p w14:paraId="42398E9C">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内容</w:t>
            </w:r>
          </w:p>
        </w:tc>
        <w:tc>
          <w:tcPr>
            <w:tcW w:w="6087" w:type="dxa"/>
            <w:vAlign w:val="center"/>
          </w:tcPr>
          <w:p w14:paraId="19B5D0FE">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编列内容</w:t>
            </w:r>
          </w:p>
        </w:tc>
        <w:tc>
          <w:tcPr>
            <w:tcW w:w="926" w:type="dxa"/>
            <w:vAlign w:val="center"/>
          </w:tcPr>
          <w:p w14:paraId="5A581918">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备注</w:t>
            </w:r>
          </w:p>
        </w:tc>
      </w:tr>
      <w:tr w14:paraId="74F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86" w:type="dxa"/>
            <w:vAlign w:val="center"/>
          </w:tcPr>
          <w:p w14:paraId="762A5783">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3.2.1</w:t>
            </w:r>
          </w:p>
        </w:tc>
        <w:tc>
          <w:tcPr>
            <w:tcW w:w="1524" w:type="dxa"/>
            <w:vAlign w:val="center"/>
          </w:tcPr>
          <w:p w14:paraId="405909BB">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分值构成</w:t>
            </w:r>
          </w:p>
          <w:p w14:paraId="11DE7532">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(总分100分)</w:t>
            </w:r>
          </w:p>
        </w:tc>
        <w:tc>
          <w:tcPr>
            <w:tcW w:w="6087" w:type="dxa"/>
            <w:vAlign w:val="center"/>
          </w:tcPr>
          <w:p w14:paraId="763E2A55">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商务技术部分：</w:t>
            </w:r>
            <w:r>
              <w:rPr>
                <w:rFonts w:hint="eastAsia" w:asciiTheme="minorEastAsia" w:hAnsiTheme="minorEastAsia" w:eastAsiaTheme="minorEastAsia" w:cstheme="minorEastAsia"/>
                <w:sz w:val="24"/>
                <w:szCs w:val="24"/>
                <w:highlight w:val="none"/>
                <w:u w:val="single"/>
              </w:rPr>
              <w:t>80</w:t>
            </w:r>
            <w:r>
              <w:rPr>
                <w:rFonts w:hint="eastAsia" w:asciiTheme="minorEastAsia" w:hAnsiTheme="minorEastAsia" w:eastAsiaTheme="minorEastAsia" w:cstheme="minorEastAsia"/>
                <w:sz w:val="24"/>
                <w:szCs w:val="24"/>
                <w:highlight w:val="none"/>
              </w:rPr>
              <w:t>分</w:t>
            </w:r>
          </w:p>
          <w:p w14:paraId="772C6A77">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报价部分：</w:t>
            </w:r>
            <w:r>
              <w:rPr>
                <w:rFonts w:hint="eastAsia" w:asciiTheme="minorEastAsia" w:hAnsiTheme="minorEastAsia" w:eastAsiaTheme="minorEastAsia" w:cstheme="minorEastAsia"/>
                <w:sz w:val="24"/>
                <w:szCs w:val="24"/>
                <w:highlight w:val="none"/>
                <w:u w:val="single"/>
              </w:rPr>
              <w:t>20</w:t>
            </w:r>
            <w:r>
              <w:rPr>
                <w:rFonts w:hint="eastAsia" w:asciiTheme="minorEastAsia" w:hAnsiTheme="minorEastAsia" w:eastAsiaTheme="minorEastAsia" w:cstheme="minorEastAsia"/>
                <w:sz w:val="24"/>
                <w:szCs w:val="24"/>
                <w:highlight w:val="none"/>
              </w:rPr>
              <w:t>分</w:t>
            </w:r>
          </w:p>
        </w:tc>
        <w:tc>
          <w:tcPr>
            <w:tcW w:w="926" w:type="dxa"/>
            <w:vAlign w:val="center"/>
          </w:tcPr>
          <w:p w14:paraId="1441DC6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r>
      <w:tr w14:paraId="3A84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886" w:type="dxa"/>
            <w:vAlign w:val="center"/>
          </w:tcPr>
          <w:p w14:paraId="451BD42B">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3.2.2</w:t>
            </w:r>
          </w:p>
        </w:tc>
        <w:tc>
          <w:tcPr>
            <w:tcW w:w="1524" w:type="dxa"/>
            <w:vAlign w:val="center"/>
          </w:tcPr>
          <w:p w14:paraId="6B6FC0B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响应报价得分计算方法</w:t>
            </w:r>
          </w:p>
        </w:tc>
        <w:tc>
          <w:tcPr>
            <w:tcW w:w="6087" w:type="dxa"/>
            <w:vAlign w:val="center"/>
          </w:tcPr>
          <w:p w14:paraId="63001B69">
            <w:pPr>
              <w:widowControl/>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响应报价不得超过最高限价，否则作无效响应处理；通过初步评审的响应报价参与报价评审。</w:t>
            </w:r>
          </w:p>
          <w:p w14:paraId="6B8F8982">
            <w:pPr>
              <w:widowControl/>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满足磋商文件要求且报价最低的为响应基准价，其价格分为满分，其他响应报价得分统一按照下列公式计算：响应报价得分=（基准价/响应报价）×20分。</w:t>
            </w:r>
          </w:p>
        </w:tc>
        <w:tc>
          <w:tcPr>
            <w:tcW w:w="926" w:type="dxa"/>
            <w:vAlign w:val="center"/>
          </w:tcPr>
          <w:p w14:paraId="19AB017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2E0B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6" w:type="dxa"/>
            <w:vAlign w:val="center"/>
          </w:tcPr>
          <w:p w14:paraId="2C8A0EA9">
            <w:pPr>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3.2.3</w:t>
            </w:r>
          </w:p>
        </w:tc>
        <w:tc>
          <w:tcPr>
            <w:tcW w:w="8537" w:type="dxa"/>
            <w:gridSpan w:val="3"/>
            <w:vAlign w:val="center"/>
          </w:tcPr>
          <w:p w14:paraId="110FD229">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评分标准</w:t>
            </w:r>
          </w:p>
        </w:tc>
      </w:tr>
      <w:tr w14:paraId="6125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1E2295B3">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类别</w:t>
            </w:r>
          </w:p>
        </w:tc>
        <w:tc>
          <w:tcPr>
            <w:tcW w:w="1524" w:type="dxa"/>
            <w:vAlign w:val="center"/>
          </w:tcPr>
          <w:p w14:paraId="22ED630F">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内容</w:t>
            </w:r>
          </w:p>
        </w:tc>
        <w:tc>
          <w:tcPr>
            <w:tcW w:w="6087" w:type="dxa"/>
            <w:vAlign w:val="center"/>
          </w:tcPr>
          <w:p w14:paraId="4518DA15">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编列内容</w:t>
            </w:r>
          </w:p>
        </w:tc>
        <w:tc>
          <w:tcPr>
            <w:tcW w:w="926" w:type="dxa"/>
            <w:vAlign w:val="center"/>
          </w:tcPr>
          <w:p w14:paraId="18377FED">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分值</w:t>
            </w:r>
          </w:p>
        </w:tc>
      </w:tr>
      <w:tr w14:paraId="3737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vMerge w:val="restart"/>
            <w:vAlign w:val="center"/>
          </w:tcPr>
          <w:p w14:paraId="30A9347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商务技术部分</w:t>
            </w:r>
          </w:p>
        </w:tc>
        <w:tc>
          <w:tcPr>
            <w:tcW w:w="1524" w:type="dxa"/>
            <w:vAlign w:val="center"/>
          </w:tcPr>
          <w:p w14:paraId="09F8AFA4">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供应商类似业绩</w:t>
            </w:r>
          </w:p>
          <w:p w14:paraId="6144568A">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分）</w:t>
            </w:r>
          </w:p>
        </w:tc>
        <w:tc>
          <w:tcPr>
            <w:tcW w:w="6087" w:type="dxa"/>
            <w:vAlign w:val="center"/>
          </w:tcPr>
          <w:p w14:paraId="20BF1A60">
            <w:pPr>
              <w:pStyle w:val="98"/>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自2022年1月1日以来（以竣工验收时间为准），供应商每具备一个单个合同金额不少于15万元的建筑工程装修装饰或维修</w:t>
            </w:r>
            <w:r>
              <w:rPr>
                <w:rFonts w:hint="eastAsia" w:asciiTheme="minorEastAsia" w:hAnsiTheme="minorEastAsia" w:eastAsiaTheme="minorEastAsia" w:cstheme="minorEastAsia"/>
                <w:kern w:val="2"/>
                <w:sz w:val="24"/>
                <w:szCs w:val="24"/>
                <w:highlight w:val="none"/>
                <w:lang w:val="en-US" w:eastAsia="zh-CN"/>
              </w:rPr>
              <w:t>或</w:t>
            </w:r>
            <w:r>
              <w:rPr>
                <w:rFonts w:hint="eastAsia" w:asciiTheme="minorEastAsia" w:hAnsiTheme="minorEastAsia" w:eastAsiaTheme="minorEastAsia" w:cstheme="minorEastAsia"/>
                <w:kern w:val="2"/>
                <w:sz w:val="24"/>
                <w:szCs w:val="24"/>
                <w:highlight w:val="none"/>
              </w:rPr>
              <w:t>改造业绩的得</w:t>
            </w:r>
            <w:r>
              <w:rPr>
                <w:rFonts w:hint="eastAsia" w:asciiTheme="minorEastAsia" w:hAnsiTheme="minorEastAsia" w:eastAsiaTheme="minorEastAsia" w:cstheme="minorEastAsia"/>
                <w:kern w:val="2"/>
                <w:sz w:val="24"/>
                <w:szCs w:val="24"/>
                <w:highlight w:val="none"/>
                <w:lang w:val="en-US" w:eastAsia="zh-CN"/>
              </w:rPr>
              <w:t>6</w:t>
            </w:r>
            <w:r>
              <w:rPr>
                <w:rFonts w:hint="eastAsia" w:asciiTheme="minorEastAsia" w:hAnsiTheme="minorEastAsia" w:eastAsiaTheme="minorEastAsia" w:cstheme="minorEastAsia"/>
                <w:kern w:val="2"/>
                <w:sz w:val="24"/>
                <w:szCs w:val="24"/>
                <w:highlight w:val="none"/>
              </w:rPr>
              <w:t>分，本项满分</w:t>
            </w:r>
            <w:r>
              <w:rPr>
                <w:rFonts w:hint="eastAsia" w:asciiTheme="minorEastAsia" w:hAnsiTheme="minorEastAsia" w:eastAsiaTheme="minorEastAsia" w:cstheme="minorEastAsia"/>
                <w:kern w:val="2"/>
                <w:sz w:val="24"/>
                <w:szCs w:val="24"/>
                <w:highlight w:val="none"/>
                <w:lang w:val="en-US" w:eastAsia="zh-CN"/>
              </w:rPr>
              <w:t>18</w:t>
            </w:r>
            <w:r>
              <w:rPr>
                <w:rFonts w:hint="eastAsia" w:asciiTheme="minorEastAsia" w:hAnsiTheme="minorEastAsia" w:eastAsiaTheme="minorEastAsia" w:cstheme="minorEastAsia"/>
                <w:kern w:val="2"/>
                <w:sz w:val="24"/>
                <w:szCs w:val="24"/>
                <w:highlight w:val="none"/>
              </w:rPr>
              <w:t>分。</w:t>
            </w:r>
          </w:p>
          <w:p w14:paraId="64540F4F">
            <w:pPr>
              <w:pStyle w:val="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2"/>
                <w:sz w:val="24"/>
                <w:szCs w:val="24"/>
                <w:highlight w:val="none"/>
              </w:rPr>
              <w:t>注：提供合同</w:t>
            </w:r>
            <w:r>
              <w:rPr>
                <w:rFonts w:hint="eastAsia" w:asciiTheme="minorEastAsia" w:hAnsiTheme="minorEastAsia" w:eastAsiaTheme="minorEastAsia" w:cstheme="minorEastAsia"/>
                <w:kern w:val="2"/>
                <w:sz w:val="24"/>
                <w:szCs w:val="24"/>
                <w:highlight w:val="none"/>
                <w:lang w:val="en-US" w:eastAsia="zh-CN"/>
              </w:rPr>
              <w:t>和</w:t>
            </w:r>
            <w:r>
              <w:rPr>
                <w:rFonts w:hint="eastAsia" w:asciiTheme="minorEastAsia" w:hAnsiTheme="minorEastAsia" w:eastAsiaTheme="minorEastAsia" w:cstheme="minorEastAsia"/>
                <w:kern w:val="2"/>
                <w:sz w:val="24"/>
                <w:szCs w:val="24"/>
                <w:highlight w:val="none"/>
              </w:rPr>
              <w:t>竣工验收证明文件。</w:t>
            </w:r>
          </w:p>
        </w:tc>
        <w:tc>
          <w:tcPr>
            <w:tcW w:w="926" w:type="dxa"/>
            <w:vAlign w:val="center"/>
          </w:tcPr>
          <w:p w14:paraId="44D5C71D">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0-</w:t>
            </w:r>
            <w:r>
              <w:rPr>
                <w:rFonts w:hint="eastAsia" w:asciiTheme="minorEastAsia" w:hAnsiTheme="minorEastAsia" w:eastAsiaTheme="minorEastAsia" w:cstheme="minorEastAsia"/>
                <w:bCs/>
                <w:sz w:val="24"/>
                <w:szCs w:val="24"/>
                <w:highlight w:val="none"/>
                <w:lang w:val="en-US" w:eastAsia="zh-CN"/>
              </w:rPr>
              <w:t>18</w:t>
            </w:r>
            <w:r>
              <w:rPr>
                <w:rFonts w:hint="eastAsia" w:asciiTheme="minorEastAsia" w:hAnsiTheme="minorEastAsia" w:eastAsiaTheme="minorEastAsia" w:cstheme="minorEastAsia"/>
                <w:bCs/>
                <w:sz w:val="24"/>
                <w:szCs w:val="24"/>
                <w:highlight w:val="none"/>
              </w:rPr>
              <w:t>分</w:t>
            </w:r>
          </w:p>
        </w:tc>
      </w:tr>
      <w:tr w14:paraId="5651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86" w:type="dxa"/>
            <w:vMerge w:val="continue"/>
            <w:vAlign w:val="center"/>
          </w:tcPr>
          <w:p w14:paraId="723A7103">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Align w:val="center"/>
          </w:tcPr>
          <w:p w14:paraId="5B22EE31">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项目经理类似业绩（9分）</w:t>
            </w:r>
          </w:p>
        </w:tc>
        <w:tc>
          <w:tcPr>
            <w:tcW w:w="6087" w:type="dxa"/>
            <w:vAlign w:val="center"/>
          </w:tcPr>
          <w:p w14:paraId="1FCE838C">
            <w:pPr>
              <w:pStyle w:val="98"/>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自2022年1月1日以来（以竣工验收时间为准），供应商项目经理每具备一个单个合同金额不少于15万元的建筑工程装修装饰或维修或改造的得3分，本项满分9分。</w:t>
            </w:r>
          </w:p>
          <w:p w14:paraId="72A1D543">
            <w:pPr>
              <w:pStyle w:val="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2"/>
                <w:sz w:val="24"/>
                <w:szCs w:val="24"/>
                <w:highlight w:val="none"/>
              </w:rPr>
              <w:t>注：提供合同或竣工验收证明文件。</w:t>
            </w:r>
          </w:p>
        </w:tc>
        <w:tc>
          <w:tcPr>
            <w:tcW w:w="926" w:type="dxa"/>
            <w:vAlign w:val="center"/>
          </w:tcPr>
          <w:p w14:paraId="26E3EDD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0-9分</w:t>
            </w:r>
          </w:p>
        </w:tc>
      </w:tr>
      <w:tr w14:paraId="6E20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1E15A3F1">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restart"/>
            <w:vAlign w:val="center"/>
          </w:tcPr>
          <w:p w14:paraId="0242DAC2">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施工组织设计（40分）</w:t>
            </w:r>
          </w:p>
        </w:tc>
        <w:tc>
          <w:tcPr>
            <w:tcW w:w="6087" w:type="dxa"/>
            <w:vAlign w:val="center"/>
          </w:tcPr>
          <w:p w14:paraId="029643FB">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施工方案与技术措施：主要分部施工方法符合项目实际，须有详尽的施工技术方案，工艺先进、方法科学合理、可行，能指导具体施工并确保安全。</w:t>
            </w:r>
            <w:r>
              <w:rPr>
                <w:rFonts w:hint="eastAsia" w:asciiTheme="minorEastAsia" w:hAnsiTheme="minorEastAsia" w:eastAsiaTheme="minorEastAsia" w:cstheme="minorEastAsia"/>
                <w:kern w:val="1"/>
                <w:sz w:val="24"/>
                <w:szCs w:val="24"/>
                <w:highlight w:val="none"/>
              </w:rPr>
              <w:t>本项满分10分，其余酌情扣分。</w:t>
            </w:r>
          </w:p>
        </w:tc>
        <w:tc>
          <w:tcPr>
            <w:tcW w:w="926" w:type="dxa"/>
            <w:vAlign w:val="center"/>
          </w:tcPr>
          <w:p w14:paraId="06E62651">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78CF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3BC6B3AD">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continue"/>
            <w:vAlign w:val="center"/>
          </w:tcPr>
          <w:p w14:paraId="1055113E">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p>
        </w:tc>
        <w:tc>
          <w:tcPr>
            <w:tcW w:w="6087" w:type="dxa"/>
            <w:vAlign w:val="center"/>
          </w:tcPr>
          <w:p w14:paraId="4286A6AA">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现场踏勘情况分析及相应措施：根据本项目的现场及周边实际情况，做出科学有针对性的相应措施，能有效降低工程造价、提高工程进度、质量、安全。</w:t>
            </w:r>
            <w:r>
              <w:rPr>
                <w:rFonts w:hint="eastAsia" w:asciiTheme="minorEastAsia" w:hAnsiTheme="minorEastAsia" w:eastAsiaTheme="minorEastAsia" w:cstheme="minorEastAsia"/>
                <w:kern w:val="1"/>
                <w:sz w:val="24"/>
                <w:szCs w:val="24"/>
                <w:highlight w:val="none"/>
              </w:rPr>
              <w:t>本项满分10分，其余酌情扣分</w:t>
            </w:r>
            <w:r>
              <w:rPr>
                <w:rFonts w:hint="eastAsia" w:asciiTheme="minorEastAsia" w:hAnsiTheme="minorEastAsia" w:eastAsiaTheme="minorEastAsia" w:cstheme="minorEastAsia"/>
                <w:sz w:val="24"/>
                <w:szCs w:val="24"/>
                <w:highlight w:val="none"/>
              </w:rPr>
              <w:t>。</w:t>
            </w:r>
          </w:p>
        </w:tc>
        <w:tc>
          <w:tcPr>
            <w:tcW w:w="926" w:type="dxa"/>
            <w:vAlign w:val="center"/>
          </w:tcPr>
          <w:p w14:paraId="391272DF">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66E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2FDE154F">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continue"/>
            <w:vAlign w:val="center"/>
          </w:tcPr>
          <w:p w14:paraId="75A9C276">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p>
        </w:tc>
        <w:tc>
          <w:tcPr>
            <w:tcW w:w="6087" w:type="dxa"/>
            <w:vAlign w:val="center"/>
          </w:tcPr>
          <w:p w14:paraId="40C4F960">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工程施工的重点和难点及保证措施：针对项目特点提供工程施工的重点和难点及保证措施详尽、可操作性强，安排合理。</w:t>
            </w:r>
            <w:r>
              <w:rPr>
                <w:rFonts w:hint="eastAsia" w:asciiTheme="minorEastAsia" w:hAnsiTheme="minorEastAsia" w:eastAsiaTheme="minorEastAsia" w:cstheme="minorEastAsia"/>
                <w:kern w:val="1"/>
                <w:sz w:val="24"/>
                <w:szCs w:val="24"/>
                <w:highlight w:val="none"/>
              </w:rPr>
              <w:t>本项满分10分，其余酌情扣分。</w:t>
            </w:r>
          </w:p>
        </w:tc>
        <w:tc>
          <w:tcPr>
            <w:tcW w:w="926" w:type="dxa"/>
            <w:vAlign w:val="center"/>
          </w:tcPr>
          <w:p w14:paraId="5FC4C3B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7115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6BC82A94">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continue"/>
            <w:vAlign w:val="center"/>
          </w:tcPr>
          <w:p w14:paraId="5BD1794F">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p>
        </w:tc>
        <w:tc>
          <w:tcPr>
            <w:tcW w:w="6087" w:type="dxa"/>
            <w:vAlign w:val="center"/>
          </w:tcPr>
          <w:p w14:paraId="371FDD28">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0"/>
                <w:sz w:val="24"/>
                <w:szCs w:val="24"/>
                <w:highlight w:val="none"/>
              </w:rPr>
              <w:t>质量、工期、进度、安全文明管理体系与措施：针对本项目特点，各项措施周全、具体、有效。质量、工期、进度、安全文明管理体系完整且科学，能满足施工需要。</w:t>
            </w:r>
            <w:r>
              <w:rPr>
                <w:rFonts w:hint="eastAsia" w:asciiTheme="minorEastAsia" w:hAnsiTheme="minorEastAsia" w:eastAsiaTheme="minorEastAsia" w:cstheme="minorEastAsia"/>
                <w:kern w:val="1"/>
                <w:sz w:val="24"/>
                <w:szCs w:val="24"/>
                <w:highlight w:val="none"/>
              </w:rPr>
              <w:t>本项满分10分，其余酌情扣分。</w:t>
            </w:r>
          </w:p>
        </w:tc>
        <w:tc>
          <w:tcPr>
            <w:tcW w:w="926" w:type="dxa"/>
            <w:vAlign w:val="center"/>
          </w:tcPr>
          <w:p w14:paraId="05619B6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4F6A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44A8AF40">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Align w:val="center"/>
          </w:tcPr>
          <w:p w14:paraId="363AAEC4">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管理机制</w:t>
            </w:r>
          </w:p>
          <w:p w14:paraId="7CD501F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（6分）</w:t>
            </w:r>
          </w:p>
        </w:tc>
        <w:tc>
          <w:tcPr>
            <w:tcW w:w="6087" w:type="dxa"/>
            <w:vAlign w:val="center"/>
          </w:tcPr>
          <w:p w14:paraId="0F65FE60">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磋商小组根据拟配备的人员的团队机构设置、职责、专业配套、岗位、人员数量等进行综合评审。本项满分</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分，其余酌情扣分。</w:t>
            </w:r>
          </w:p>
          <w:p w14:paraId="20783FF7">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备注：响应文件中须提供人员名单（格式自拟，须体现拟任岗位、姓名、</w:t>
            </w:r>
            <w:r>
              <w:rPr>
                <w:rFonts w:hint="eastAsia" w:asciiTheme="minorEastAsia" w:hAnsiTheme="minorEastAsia" w:eastAsiaTheme="minorEastAsia" w:cstheme="minorEastAsia"/>
                <w:bCs/>
                <w:sz w:val="24"/>
                <w:szCs w:val="24"/>
                <w:highlight w:val="none"/>
                <w:lang w:val="en-US" w:eastAsia="zh-CN"/>
              </w:rPr>
              <w:t>工作经验</w:t>
            </w:r>
            <w:r>
              <w:rPr>
                <w:rFonts w:hint="eastAsia" w:asciiTheme="minorEastAsia" w:hAnsiTheme="minorEastAsia" w:eastAsiaTheme="minorEastAsia" w:cstheme="minorEastAsia"/>
                <w:bCs/>
                <w:sz w:val="24"/>
                <w:szCs w:val="24"/>
                <w:highlight w:val="none"/>
              </w:rPr>
              <w:t>、专业等）。</w:t>
            </w:r>
          </w:p>
        </w:tc>
        <w:tc>
          <w:tcPr>
            <w:tcW w:w="926" w:type="dxa"/>
            <w:vAlign w:val="center"/>
          </w:tcPr>
          <w:p w14:paraId="319801D6">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0-6分</w:t>
            </w:r>
          </w:p>
        </w:tc>
      </w:tr>
      <w:tr w14:paraId="6D6A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585036A2">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Align w:val="center"/>
          </w:tcPr>
          <w:p w14:paraId="138C6348">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售后服务</w:t>
            </w:r>
          </w:p>
          <w:p w14:paraId="0706518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分）</w:t>
            </w:r>
          </w:p>
        </w:tc>
        <w:tc>
          <w:tcPr>
            <w:tcW w:w="6087" w:type="dxa"/>
            <w:vAlign w:val="center"/>
          </w:tcPr>
          <w:p w14:paraId="0839253C">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根据供应商提供的售后维保服务方案，解决措施进行综合评审，满分本项满分</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分，其余酌情扣分。</w:t>
            </w:r>
          </w:p>
        </w:tc>
        <w:tc>
          <w:tcPr>
            <w:tcW w:w="926" w:type="dxa"/>
            <w:vAlign w:val="center"/>
          </w:tcPr>
          <w:p w14:paraId="44A39E9F">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tc>
      </w:tr>
    </w:tbl>
    <w:p w14:paraId="72C36FD3">
      <w:pPr>
        <w:wordWrap w:val="0"/>
        <w:adjustRightInd w:val="0"/>
        <w:snapToGrid w:val="0"/>
        <w:spacing w:before="156" w:beforeLines="5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技术得分计算方法：先由磋商小组对每个供应商独立打分，然后取所有磋商小组评分的算术平均值。磋商小组根据供应商最终综合得分（商务技术部分+响应报价部分）由高到低推荐供应商须知前附表规定数量的成交候选供应商。综合评分相等时，以最后报价低的优先；最后报价也相等的，则采取磋商小组组长抽签方式确定成交候选供应商排序。</w:t>
      </w:r>
    </w:p>
    <w:p w14:paraId="7832AF79">
      <w:pPr>
        <w:widowControl/>
        <w:wordWrap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bookmarkStart w:id="23" w:name="_Toc532938399"/>
    </w:p>
    <w:p w14:paraId="0C36C192">
      <w:pPr>
        <w:widowControl/>
        <w:wordWrap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kern w:val="0"/>
          <w:sz w:val="24"/>
          <w:szCs w:val="24"/>
          <w:highlight w:val="none"/>
        </w:rPr>
        <w:br w:type="page"/>
      </w:r>
      <w:r>
        <w:rPr>
          <w:rFonts w:hint="eastAsia" w:asciiTheme="minorEastAsia" w:hAnsiTheme="minorEastAsia" w:eastAsiaTheme="minorEastAsia" w:cstheme="minorEastAsia"/>
          <w:b/>
          <w:kern w:val="0"/>
          <w:sz w:val="24"/>
          <w:szCs w:val="24"/>
          <w:highlight w:val="none"/>
        </w:rPr>
        <w:t>（二）评审办法</w:t>
      </w:r>
    </w:p>
    <w:p w14:paraId="2DB58760">
      <w:pPr>
        <w:keepNext/>
        <w:keepLines/>
        <w:widowControl/>
        <w:wordWrap w:val="0"/>
        <w:adjustRightInd w:val="0"/>
        <w:snapToGrid w:val="0"/>
        <w:spacing w:line="360" w:lineRule="auto"/>
        <w:ind w:firstLine="482" w:firstLineChars="200"/>
        <w:outlineLvl w:val="1"/>
        <w:rPr>
          <w:rFonts w:hint="eastAsia" w:asciiTheme="minorEastAsia" w:hAnsiTheme="minorEastAsia" w:eastAsiaTheme="minorEastAsia" w:cstheme="minorEastAsia"/>
          <w:b/>
          <w:sz w:val="24"/>
          <w:szCs w:val="24"/>
          <w:highlight w:val="none"/>
        </w:rPr>
      </w:pPr>
      <w:bookmarkStart w:id="24" w:name="_Toc15567763"/>
      <w:bookmarkStart w:id="25" w:name="_Toc22053398"/>
      <w:bookmarkStart w:id="26" w:name="_Toc76480391"/>
      <w:r>
        <w:rPr>
          <w:rFonts w:hint="eastAsia" w:asciiTheme="minorEastAsia" w:hAnsiTheme="minorEastAsia" w:eastAsiaTheme="minorEastAsia" w:cstheme="minorEastAsia"/>
          <w:b/>
          <w:sz w:val="24"/>
          <w:szCs w:val="24"/>
          <w:highlight w:val="none"/>
        </w:rPr>
        <w:t>1、评审方法</w:t>
      </w:r>
      <w:bookmarkEnd w:id="22"/>
      <w:bookmarkEnd w:id="23"/>
      <w:bookmarkEnd w:id="24"/>
      <w:bookmarkEnd w:id="25"/>
      <w:bookmarkEnd w:id="26"/>
    </w:p>
    <w:p w14:paraId="3847E6B4">
      <w:pPr>
        <w:wordWrap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为了规范评审活动，维护采购活动当事人的合法权益，参照《中华人民共和国政府采购法》、《财政部关于进一步规范政府采购评审工作有关问题的通知 》（财库 [2012]69号）、《政府采购磋商采购方式管理暂行办法》（财库[2014]214号）有关规定，依据磋商文件，制定本项目评审原则和方法。</w:t>
      </w:r>
    </w:p>
    <w:p w14:paraId="3DE27F79">
      <w:pPr>
        <w:wordWrap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评审采用综合评分法。磋商小组与供应商磋商后，对响应文件满足磋商文件全部实质性要求，按照本章第3.2款规定的评审标准进行打分，并按得分由高到低的顺序推荐成交候选供应商。综合评分相等时，以最后报价低的优先；最后报价也相等的，则采取磋商小组组长抽签方式确定成交候选供应商排序。</w:t>
      </w:r>
    </w:p>
    <w:p w14:paraId="78C7D84F">
      <w:pPr>
        <w:pStyle w:val="5"/>
        <w:widowControl/>
        <w:ind w:firstLine="482" w:firstLineChars="200"/>
        <w:rPr>
          <w:rFonts w:hint="eastAsia" w:asciiTheme="minorEastAsia" w:hAnsiTheme="minorEastAsia" w:eastAsiaTheme="minorEastAsia" w:cstheme="minorEastAsia"/>
          <w:sz w:val="24"/>
          <w:szCs w:val="24"/>
          <w:highlight w:val="none"/>
        </w:rPr>
      </w:pPr>
      <w:bookmarkStart w:id="27" w:name="_Toc455587284"/>
      <w:bookmarkStart w:id="28" w:name="_Toc445554768"/>
      <w:bookmarkStart w:id="29" w:name="_Toc455587100"/>
      <w:bookmarkStart w:id="30" w:name="_Toc466024567"/>
      <w:r>
        <w:rPr>
          <w:rFonts w:hint="eastAsia" w:asciiTheme="minorEastAsia" w:hAnsiTheme="minorEastAsia" w:eastAsiaTheme="minorEastAsia" w:cstheme="minorEastAsia"/>
          <w:sz w:val="24"/>
          <w:szCs w:val="24"/>
          <w:highlight w:val="none"/>
        </w:rPr>
        <w:t>2. 磋商小组的组成和职责</w:t>
      </w:r>
      <w:bookmarkEnd w:id="27"/>
      <w:bookmarkEnd w:id="28"/>
      <w:bookmarkEnd w:id="29"/>
      <w:bookmarkEnd w:id="30"/>
    </w:p>
    <w:p w14:paraId="7BC2039C">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2.1 磋商小组的组成</w:t>
      </w:r>
    </w:p>
    <w:p w14:paraId="2475DD8B">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磋商小组由采购人依法组建。磋商小组应当推选组长，但采购人代表不得担任组长。</w:t>
      </w:r>
    </w:p>
    <w:p w14:paraId="119EBE64">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2.2 磋商小组的职责</w:t>
      </w:r>
    </w:p>
    <w:p w14:paraId="1C7BA6E8">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根据磋商文件规定的磋商程序、评审程序、评审方法和评审标准进行独立评审。</w:t>
      </w:r>
      <w:r>
        <w:rPr>
          <w:rFonts w:hint="eastAsia" w:asciiTheme="minorEastAsia" w:hAnsiTheme="minorEastAsia" w:eastAsiaTheme="minorEastAsia" w:cstheme="minorEastAsia"/>
          <w:sz w:val="24"/>
          <w:szCs w:val="24"/>
          <w:highlight w:val="none"/>
        </w:rPr>
        <w:t>磋商小组成员</w:t>
      </w:r>
      <w:r>
        <w:rPr>
          <w:rFonts w:hint="eastAsia" w:asciiTheme="minorEastAsia" w:hAnsiTheme="minorEastAsia" w:eastAsiaTheme="minorEastAsia" w:cstheme="minorEastAsia"/>
          <w:kern w:val="0"/>
          <w:sz w:val="24"/>
          <w:szCs w:val="24"/>
          <w:highlight w:val="none"/>
        </w:rPr>
        <w:t>应当在评审报告上签字，对自己的磋商与评审意见承担法律责任。对需要共同认定的事项存在争议的，按照少数服从多数的原则做出结论。对评审报告有异议的，应当在评审报告上签署不同意见并说明理由，否则视为同意评审报告。</w:t>
      </w:r>
    </w:p>
    <w:p w14:paraId="15341F72">
      <w:pPr>
        <w:pStyle w:val="5"/>
        <w:widowControl/>
        <w:ind w:firstLine="482" w:firstLineChars="200"/>
        <w:rPr>
          <w:rFonts w:hint="eastAsia" w:asciiTheme="minorEastAsia" w:hAnsiTheme="minorEastAsia" w:eastAsiaTheme="minorEastAsia" w:cstheme="minorEastAsia"/>
          <w:sz w:val="24"/>
          <w:szCs w:val="24"/>
          <w:highlight w:val="none"/>
        </w:rPr>
      </w:pPr>
      <w:bookmarkStart w:id="31" w:name="_Toc455587286"/>
      <w:bookmarkStart w:id="32" w:name="_Toc445554770"/>
      <w:bookmarkStart w:id="33" w:name="_Toc466024569"/>
      <w:bookmarkStart w:id="34" w:name="_Toc455587102"/>
      <w:bookmarkStart w:id="35" w:name="_Toc445554769"/>
      <w:bookmarkStart w:id="36" w:name="_Toc455587285"/>
      <w:bookmarkStart w:id="37" w:name="_Toc455587101"/>
      <w:bookmarkStart w:id="38" w:name="_Toc466024568"/>
      <w:r>
        <w:rPr>
          <w:rFonts w:hint="eastAsia" w:asciiTheme="minorEastAsia" w:hAnsiTheme="minorEastAsia" w:eastAsiaTheme="minorEastAsia" w:cstheme="minorEastAsia"/>
          <w:sz w:val="24"/>
          <w:szCs w:val="24"/>
          <w:highlight w:val="none"/>
        </w:rPr>
        <w:t>3. 评审标准</w:t>
      </w:r>
      <w:bookmarkEnd w:id="31"/>
      <w:bookmarkEnd w:id="32"/>
      <w:bookmarkEnd w:id="33"/>
      <w:bookmarkEnd w:id="34"/>
    </w:p>
    <w:p w14:paraId="06312640">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3.1 符合性审查标准</w:t>
      </w:r>
    </w:p>
    <w:p w14:paraId="1D930DCE">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3.1.1 形式评审标准：见评审办法前附表。</w:t>
      </w:r>
    </w:p>
    <w:p w14:paraId="38D25412">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3.1.2 资格评审标准：见评审办法前附表。</w:t>
      </w:r>
    </w:p>
    <w:p w14:paraId="516DF549">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3.1.3 响应性评审标准：见评审办法前附表。</w:t>
      </w:r>
    </w:p>
    <w:p w14:paraId="2EB5730C">
      <w:pPr>
        <w:pStyle w:val="97"/>
        <w:adjustRightInd w:val="0"/>
        <w:snapToGrid w:val="0"/>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 详细评审</w:t>
      </w:r>
    </w:p>
    <w:p w14:paraId="27733A34">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3.2.1 分值构成：见评审办法前附表。</w:t>
      </w:r>
    </w:p>
    <w:p w14:paraId="0D559F7F">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 评审基准价计算：见评审办法前附表。</w:t>
      </w:r>
    </w:p>
    <w:p w14:paraId="3C02F1CD">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 评分标准：见评审办法前附表。</w:t>
      </w:r>
    </w:p>
    <w:p w14:paraId="27A80C6A">
      <w:pPr>
        <w:pStyle w:val="5"/>
        <w:widowControl/>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 磋商与评审程序</w:t>
      </w:r>
      <w:bookmarkEnd w:id="35"/>
      <w:bookmarkEnd w:id="36"/>
      <w:bookmarkEnd w:id="37"/>
      <w:bookmarkEnd w:id="38"/>
    </w:p>
    <w:p w14:paraId="3A964676">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39" w:name="_Toc497923238"/>
      <w:bookmarkStart w:id="40" w:name="_Toc500009130"/>
      <w:bookmarkStart w:id="41" w:name="_Toc500009131"/>
      <w:bookmarkStart w:id="42" w:name="_Toc497923239"/>
      <w:r>
        <w:rPr>
          <w:rFonts w:hint="eastAsia" w:asciiTheme="minorEastAsia" w:hAnsiTheme="minorEastAsia" w:eastAsiaTheme="minorEastAsia" w:cstheme="minorEastAsia"/>
          <w:b/>
          <w:bCs/>
          <w:sz w:val="24"/>
          <w:szCs w:val="24"/>
          <w:highlight w:val="none"/>
        </w:rPr>
        <w:t>4.1初步评审</w:t>
      </w:r>
      <w:bookmarkEnd w:id="39"/>
      <w:bookmarkEnd w:id="40"/>
    </w:p>
    <w:p w14:paraId="2DFE4F97">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4.1.1磋商小组依据本章第3.1款规定的标准对响应文件进行初步评审。有一项不符合评审标准的，其响应文件按无效响应处理。</w:t>
      </w:r>
    </w:p>
    <w:p w14:paraId="4200610F">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4.1.2供应商有下列情形之一的，其响应文件按无效响应处理：</w:t>
      </w:r>
    </w:p>
    <w:p w14:paraId="6818CC40">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（1）除磋商文件可能实质性变动的条款外，响应文件未对磋商文件的其他实质性条款做出响应，或者对磋商文件的偏差超过规定的偏差范围或最高项数；</w:t>
      </w:r>
    </w:p>
    <w:p w14:paraId="187C30E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（2）有恶意串通、弄虚作假、行贿等行为。</w:t>
      </w:r>
    </w:p>
    <w:p w14:paraId="172FB8F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4.1.3响应报价有算术错误的，磋商小组按以下原则对响应报价进行修正，修正的价格经供应商书面确认后具有约束力。供应商不接受修正价格的，其响应文件按无效响应处理。</w:t>
      </w:r>
    </w:p>
    <w:p w14:paraId="0025BA77">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（1）响应文件中响应报价一览表内容与响应文件中相应内容不一致的，以响应报价一览表为准；</w:t>
      </w:r>
    </w:p>
    <w:p w14:paraId="7D7C9C3F">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（2）大写金额和小写金额不一致的，以大写金额为准；</w:t>
      </w:r>
    </w:p>
    <w:p w14:paraId="21E180E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（3）单价金额小数点或者百分比有明显错位的，以响应报价一览表的总价为准，并修改单价；</w:t>
      </w:r>
    </w:p>
    <w:p w14:paraId="789C0401">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（4）总价金额与按单价汇总金额不一致的，以单价金额计算结果为准。</w:t>
      </w:r>
    </w:p>
    <w:p w14:paraId="398B6511">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同时出现两种以上不一致的，按照前款规定的顺序修正。修正后的报价经供应商确认后产生约束力，供应商不确认的，其响应文件按无效处理。</w:t>
      </w:r>
    </w:p>
    <w:p w14:paraId="4524FA7B">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成交后，以成交价为基准，同比例修正分项单价。</w:t>
      </w:r>
    </w:p>
    <w:p w14:paraId="55FBCB0F">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4.1.4 磋商小组按照规定的原则对响应报价进行校核时，发现响应报价存在多处算术错误或漏项的，使得响应报价校核无法进行的，其响应文件按无效处理。</w:t>
      </w:r>
    </w:p>
    <w:p w14:paraId="518D2C89">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4.2磋商</w:t>
      </w:r>
      <w:bookmarkEnd w:id="41"/>
      <w:bookmarkEnd w:id="42"/>
    </w:p>
    <w:p w14:paraId="3BB1741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4.2.1磋商小组按照第二章第6.2.1项确定的顺序分别与通过初步评审的供应商进行磋商。磋商时，磋商小组所有成员集中与单一供应商分别进行磋商，供应商的委托代理人应按照磋商小组通知的时间和地点参加磋商。磋商轮次及每个供应商的磋商时间将由磋商小组根据磋商情况确定。</w:t>
      </w:r>
    </w:p>
    <w:p w14:paraId="10603915">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4.2.2磋商小组就技术方案、服务要求、合同条款等磋商文件规定的磋商内容与供应商进行磋商。磋商小组可要求供应商就磋商中的具体问题作出书面答复或承诺，书面答复或承诺应由供应商法定代表人（单位负责人）或其委托代理人签字或加盖单位章，并将作为其响应文件的一部分。</w:t>
      </w:r>
    </w:p>
    <w:p w14:paraId="49577739">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4.2.3在磋商过程中，磋商小组可以按照第二章第6.2.3项规定的内容变动磋商文件，并要求供应商重新提交响应文件或作出变动说明。</w:t>
      </w:r>
    </w:p>
    <w:p w14:paraId="626BE8C3">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4.2.4经磋商，供应商有下列情形之一的，其响应文件按无效响应处理：</w:t>
      </w:r>
    </w:p>
    <w:p w14:paraId="320F022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（1）响应文件未对磋商文件的其他实质性条款做成响应，或者对磋商的偏差超过规定的偏差范围或最高项数；</w:t>
      </w:r>
    </w:p>
    <w:p w14:paraId="593588C7">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（2）有恶意串通、弄虚作假、行贿等行为。</w:t>
      </w:r>
    </w:p>
    <w:p w14:paraId="5F36ACBF">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43" w:name="_Toc500009132"/>
      <w:bookmarkStart w:id="44" w:name="_Toc497923243"/>
      <w:r>
        <w:rPr>
          <w:rFonts w:hint="eastAsia" w:asciiTheme="minorEastAsia" w:hAnsiTheme="minorEastAsia" w:eastAsiaTheme="minorEastAsia" w:cstheme="minorEastAsia"/>
          <w:b/>
          <w:bCs/>
          <w:sz w:val="24"/>
          <w:szCs w:val="24"/>
          <w:highlight w:val="none"/>
        </w:rPr>
        <w:t>4.3最后报价</w:t>
      </w:r>
      <w:bookmarkEnd w:id="43"/>
      <w:bookmarkEnd w:id="44"/>
    </w:p>
    <w:p w14:paraId="3B529BCA">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4.3.1磋商小组按照第二章第6.3.1项规定确定提交最后报价的供应商。</w:t>
      </w:r>
    </w:p>
    <w:p w14:paraId="1984CB65">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4.3.2磋商小组按照第二章第6.3.3项规定确定最后报价轮次。</w:t>
      </w:r>
    </w:p>
    <w:p w14:paraId="6B41F828">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bookmarkStart w:id="45" w:name="_Toc500009133"/>
      <w:bookmarkStart w:id="46" w:name="_Toc497923240"/>
      <w:r>
        <w:rPr>
          <w:rFonts w:hint="eastAsia" w:asciiTheme="minorEastAsia" w:hAnsiTheme="minorEastAsia" w:eastAsiaTheme="minorEastAsia" w:cstheme="minorEastAsia"/>
          <w:sz w:val="24"/>
          <w:szCs w:val="24"/>
          <w:highlight w:val="none"/>
        </w:rPr>
        <w:t>4.3.3在采购内容不做实质性变更及重大调整的前提下，供应商下轮报价不得高于上一轮报价，否则按无效响应处理。</w:t>
      </w:r>
    </w:p>
    <w:p w14:paraId="43428154">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4.4详细评审</w:t>
      </w:r>
      <w:bookmarkEnd w:id="45"/>
      <w:bookmarkEnd w:id="46"/>
    </w:p>
    <w:p w14:paraId="4E30E3A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4.4.1磋商小组按本章第3.2款规定的量化因素和分值进行打分，并计算出综合得分。</w:t>
      </w:r>
    </w:p>
    <w:p w14:paraId="1354956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4.4.2 评分分值计算保留小数点后两位，小数点后第三位“四舍五入”。</w:t>
      </w:r>
    </w:p>
    <w:p w14:paraId="04595353">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4.4.3取磋商小组对各供应商评审得分的算术平均值作为供应商得分，其中响应报价得分按规定进行计算。</w:t>
      </w:r>
    </w:p>
    <w:p w14:paraId="05E9013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4.4.4磋商小组发现供应商的最后报价明显高于其他通过初步评审单位的最后报价，有可能影响产品质量或者不能诚信履约的，应当要求其在合理的时间内提供说明，必要时提交相关证明材料。供应商不能合理说明或者不能提供相应证明材料的，由磋商小组认定该供应商其响应文件为无效响应。</w:t>
      </w:r>
    </w:p>
    <w:p w14:paraId="3326E0EF">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47" w:name="_Toc455587287"/>
      <w:bookmarkStart w:id="48" w:name="_Toc466024570"/>
      <w:bookmarkStart w:id="49" w:name="_Toc455587103"/>
      <w:bookmarkStart w:id="50" w:name="_Toc445554771"/>
      <w:r>
        <w:rPr>
          <w:rFonts w:hint="eastAsia" w:asciiTheme="minorEastAsia" w:hAnsiTheme="minorEastAsia" w:eastAsiaTheme="minorEastAsia" w:cstheme="minorEastAsia"/>
          <w:b/>
          <w:bCs/>
          <w:sz w:val="24"/>
          <w:szCs w:val="24"/>
          <w:highlight w:val="none"/>
        </w:rPr>
        <w:t>4.5 响应文件的澄清</w:t>
      </w:r>
      <w:bookmarkEnd w:id="47"/>
      <w:bookmarkEnd w:id="48"/>
      <w:bookmarkEnd w:id="49"/>
      <w:bookmarkEnd w:id="50"/>
    </w:p>
    <w:p w14:paraId="099A2576">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4.5.1 评审过程中，磋商小组可以要求供应商对响应文件中含义不明确、同类问题表述不一致或者有明显文字和计算错误的内容等作出必要的澄清、说明或者补正。供应商的澄清、说明或者补正不得超出响应文件的范围或者改变响应文件的实质性内容。供应商的书面澄清、说明和补正属于响应文件的组成部分。</w:t>
      </w:r>
    </w:p>
    <w:p w14:paraId="1C40F489">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4.5.2 磋商小组要求供应商澄清、说明或者更正响应文件应当以书面形式作出。供应商的澄清、说明或者更正应当由法定代表人（单位负责人）或其授权代表签字或者加盖公章。由授权代表签字的，应当附法定代表人（单位负责人）授权书。供应商为自然人的，应当由本人签字并附身份证明。</w:t>
      </w:r>
    </w:p>
    <w:p w14:paraId="0497BC3E">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4.5.3 磋商小组对供应商提交的澄清、说明或补正有疑问的，可以要求供应商进一步澄清、说明或补正，直至满足磋商小组的要求。</w:t>
      </w:r>
    </w:p>
    <w:p w14:paraId="0BBA80DF">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4.5.4磋商小组不接受供应商主动提出的澄清、说明或补正。</w:t>
      </w:r>
    </w:p>
    <w:p w14:paraId="7F0C3B44">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51" w:name="_Toc455587104"/>
      <w:bookmarkStart w:id="52" w:name="_Toc466024571"/>
      <w:bookmarkStart w:id="53" w:name="_Toc445554772"/>
      <w:bookmarkStart w:id="54" w:name="_Toc455587288"/>
      <w:r>
        <w:rPr>
          <w:rFonts w:hint="eastAsia" w:asciiTheme="minorEastAsia" w:hAnsiTheme="minorEastAsia" w:eastAsiaTheme="minorEastAsia" w:cstheme="minorEastAsia"/>
          <w:b/>
          <w:bCs/>
          <w:sz w:val="24"/>
          <w:szCs w:val="24"/>
          <w:highlight w:val="none"/>
        </w:rPr>
        <w:t>4.6 评审结果</w:t>
      </w:r>
      <w:bookmarkEnd w:id="51"/>
      <w:bookmarkEnd w:id="52"/>
      <w:bookmarkEnd w:id="53"/>
      <w:bookmarkEnd w:id="54"/>
    </w:p>
    <w:p w14:paraId="5AE44030">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4.6.1 除第二章供应商须知前附表委托直接确定成交供应商外，磋商小组按照得分由高到低的顺序推荐成交候选供应商，并标明排序。</w:t>
      </w:r>
    </w:p>
    <w:p w14:paraId="5402D5C8">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4.6.2 完成评审后，磋商小组根据全体磋商成员签字的原始磋商与评审记录和评审结果编写评审报告。评审报告应当包括以下内容：</w:t>
      </w:r>
    </w:p>
    <w:p w14:paraId="1F571727">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bookmarkStart w:id="55" w:name="_Toc455587105"/>
      <w:bookmarkStart w:id="56" w:name="_Toc455587289"/>
      <w:bookmarkStart w:id="57" w:name="_Toc445554773"/>
      <w:r>
        <w:rPr>
          <w:rFonts w:hint="eastAsia" w:asciiTheme="minorEastAsia" w:hAnsiTheme="minorEastAsia" w:eastAsiaTheme="minorEastAsia" w:cstheme="minorEastAsia"/>
          <w:sz w:val="24"/>
          <w:szCs w:val="24"/>
          <w:highlight w:val="none"/>
        </w:rPr>
        <w:t>（1）邀请供应商参加采购活动的具体方式和相关情况；</w:t>
      </w:r>
    </w:p>
    <w:p w14:paraId="012BDE6D">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（2）响应文件开启日期和地点；</w:t>
      </w:r>
    </w:p>
    <w:p w14:paraId="37DADD94">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（3）获取磋商文件的供应商名单和磋商小组成员名单；</w:t>
      </w:r>
    </w:p>
    <w:p w14:paraId="695E7B73">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（4）评审情况记录和说明，包括对供应商的资格审查情况、供应商响应文件评审情况、磋商情况、报价情况等；</w:t>
      </w:r>
    </w:p>
    <w:p w14:paraId="2994D91E">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（5）提出的成交候选供应商的排序名单及理由。</w:t>
      </w:r>
    </w:p>
    <w:p w14:paraId="0B3392B4">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（6）其他需要说明的情况，包括评审过程中供应商根据磋商小组要求进行的澄清、说明或者补正，磋商小组成员的更换等。</w:t>
      </w:r>
    </w:p>
    <w:p w14:paraId="02EB8D92">
      <w:pPr>
        <w:pStyle w:val="5"/>
        <w:widowControl/>
        <w:ind w:firstLine="482" w:firstLineChars="200"/>
        <w:rPr>
          <w:rFonts w:hint="eastAsia" w:asciiTheme="minorEastAsia" w:hAnsiTheme="minorEastAsia" w:eastAsiaTheme="minorEastAsia" w:cstheme="minorEastAsia"/>
          <w:sz w:val="24"/>
          <w:szCs w:val="24"/>
          <w:highlight w:val="none"/>
        </w:rPr>
      </w:pPr>
      <w:bookmarkStart w:id="58" w:name="_Toc466024572"/>
      <w:r>
        <w:rPr>
          <w:rFonts w:hint="eastAsia" w:asciiTheme="minorEastAsia" w:hAnsiTheme="minorEastAsia" w:eastAsiaTheme="minorEastAsia" w:cstheme="minorEastAsia"/>
          <w:sz w:val="24"/>
          <w:szCs w:val="24"/>
          <w:highlight w:val="none"/>
        </w:rPr>
        <w:t>5. 其他</w:t>
      </w:r>
      <w:bookmarkEnd w:id="55"/>
      <w:bookmarkEnd w:id="56"/>
      <w:bookmarkEnd w:id="57"/>
      <w:bookmarkEnd w:id="58"/>
    </w:p>
    <w:p w14:paraId="2F82C6BD">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 供应商与评审工作正常进行；有关监督部门调查确认弄虚作假情况属实的，如果该供应商已被确定为成交候选供应商的，由采购人按照法律法规相关规定取消其成交资格，并从其他成交候选供应商中依照推荐次序确定成交供应商。</w:t>
      </w:r>
    </w:p>
    <w:p w14:paraId="6EB23745">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 供应商提供业绩、荣誉证书、各种资质、资格证书以及证明材料等文件级资料均须在响应文件中提供，电子响应文件中提供扫描件。如未在响应文件中提供，则初审项目视为不通过；评分项目相应项不予计分。</w:t>
      </w:r>
    </w:p>
    <w:p w14:paraId="31834296">
      <w:pPr>
        <w:spacing w:line="360" w:lineRule="auto"/>
        <w:ind w:firstLine="480" w:firstLineChars="200"/>
        <w:rPr>
          <w:rFonts w:hint="eastAsia" w:ascii="宋体" w:hAnsi="宋体" w:eastAsia="宋体" w:cs="宋体"/>
          <w:color w:val="000000"/>
          <w:sz w:val="24"/>
          <w:szCs w:val="24"/>
          <w:highlight w:val="none"/>
        </w:rPr>
      </w:pPr>
    </w:p>
    <w:p w14:paraId="28E8FDD9">
      <w:pPr>
        <w:keepLines/>
        <w:ind w:left="720"/>
        <w:jc w:val="center"/>
        <w:rPr>
          <w:rFonts w:hint="eastAsia" w:ascii="宋体" w:hAnsi="宋体" w:eastAsia="宋体" w:cs="宋体"/>
          <w:color w:val="000000"/>
          <w:sz w:val="32"/>
          <w:highlight w:val="none"/>
        </w:rPr>
      </w:pPr>
      <w:bookmarkStart w:id="59" w:name="_Toc363199268"/>
      <w:bookmarkStart w:id="60" w:name="_Toc25322"/>
      <w:r>
        <w:rPr>
          <w:rFonts w:ascii="宋体" w:hAnsi="宋体" w:eastAsia="宋体" w:cs="宋体"/>
          <w:color w:val="000000"/>
          <w:sz w:val="32"/>
          <w:highlight w:val="none"/>
        </w:rPr>
        <w:br w:type="page"/>
      </w:r>
    </w:p>
    <w:p w14:paraId="128D071A">
      <w:pPr>
        <w:pStyle w:val="4"/>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59"/>
      <w:bookmarkEnd w:id="60"/>
    </w:p>
    <w:p w14:paraId="6F15A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1、本项目磋商文件已详细列明采购标的技术、服务要求，在采购标的技术、服务要求不变的情况下，各供应商响应文件中的首轮报价即作为最终报价。</w:t>
      </w:r>
      <w:r>
        <w:rPr>
          <w:rFonts w:hint="eastAsia" w:ascii="宋体" w:hAnsi="宋体" w:eastAsia="宋体" w:cs="宋体"/>
          <w:color w:val="000000"/>
          <w:sz w:val="24"/>
          <w:highlight w:val="none"/>
        </w:rPr>
        <w:t>。</w:t>
      </w:r>
    </w:p>
    <w:p w14:paraId="013424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采购文件、图纸及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r>
        <w:rPr>
          <w:rFonts w:hint="eastAsia" w:ascii="宋体" w:hAnsi="宋体" w:eastAsia="宋体" w:cs="宋体"/>
          <w:color w:val="000000"/>
          <w:sz w:val="24"/>
          <w:highlight w:val="none"/>
        </w:rPr>
        <w:t>。</w:t>
      </w:r>
    </w:p>
    <w:p w14:paraId="57DD0B6B">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资料的真实性、有效性及合法性，否则，由此引起的任何责任由其自行承担。</w:t>
      </w:r>
    </w:p>
    <w:p w14:paraId="02D5CB4F">
      <w:pPr>
        <w:rPr>
          <w:rFonts w:hint="eastAsia"/>
          <w:highlight w:val="none"/>
        </w:rPr>
      </w:pPr>
      <w:bookmarkStart w:id="61" w:name="_Toc363199269"/>
    </w:p>
    <w:p w14:paraId="2FFF1368">
      <w:pPr>
        <w:pStyle w:val="4"/>
        <w:keepLines/>
        <w:ind w:left="720" w:hanging="720"/>
        <w:jc w:val="center"/>
        <w:rPr>
          <w:rFonts w:hint="eastAsia" w:ascii="宋体" w:hAnsi="宋体" w:eastAsia="宋体" w:cs="宋体"/>
          <w:color w:val="000000"/>
          <w:sz w:val="32"/>
          <w:highlight w:val="none"/>
        </w:rPr>
      </w:pPr>
      <w:bookmarkStart w:id="62"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61"/>
      <w:bookmarkEnd w:id="62"/>
    </w:p>
    <w:p w14:paraId="76F236F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w:t>
      </w:r>
      <w:r>
        <w:rPr>
          <w:rFonts w:hint="eastAsia" w:ascii="宋体" w:hAnsi="宋体" w:eastAsia="宋体" w:cs="宋体"/>
          <w:color w:val="000000"/>
          <w:sz w:val="24"/>
          <w:szCs w:val="24"/>
          <w:highlight w:val="none"/>
          <w:lang w:val="en-US" w:eastAsia="zh-CN"/>
        </w:rPr>
        <w:t>总价合同</w:t>
      </w:r>
      <w:r>
        <w:rPr>
          <w:rFonts w:hint="eastAsia" w:ascii="宋体" w:hAnsi="宋体" w:eastAsia="宋体" w:cs="宋体"/>
          <w:color w:val="000000"/>
          <w:sz w:val="24"/>
          <w:szCs w:val="24"/>
          <w:highlight w:val="none"/>
        </w:rPr>
        <w:t>，成交后所有费用一次性包死，供应商须满足本项目的一切要求，达到项目需求，中途不得增加费用。</w:t>
      </w:r>
    </w:p>
    <w:p w14:paraId="629DFC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7D4ABCAD">
      <w:pPr>
        <w:rPr>
          <w:rFonts w:hint="eastAsia" w:ascii="宋体" w:hAnsi="宋体" w:eastAsia="宋体" w:cs="宋体"/>
          <w:color w:val="000000"/>
          <w:sz w:val="32"/>
          <w:szCs w:val="24"/>
          <w:highlight w:val="none"/>
        </w:rPr>
      </w:pPr>
      <w:bookmarkStart w:id="63" w:name="_Toc25479"/>
      <w:bookmarkStart w:id="64" w:name="_Toc363199273"/>
      <w:r>
        <w:rPr>
          <w:rFonts w:ascii="宋体" w:hAnsi="宋体" w:eastAsia="宋体" w:cs="宋体"/>
          <w:color w:val="000000"/>
          <w:sz w:val="32"/>
          <w:szCs w:val="24"/>
          <w:highlight w:val="none"/>
        </w:rPr>
        <w:br w:type="page"/>
      </w:r>
    </w:p>
    <w:p w14:paraId="2035B0CD">
      <w:pPr>
        <w:pStyle w:val="4"/>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63"/>
    </w:p>
    <w:p w14:paraId="2898D88F">
      <w:pPr>
        <w:spacing w:line="500" w:lineRule="exact"/>
        <w:jc w:val="center"/>
        <w:rPr>
          <w:rFonts w:hint="eastAsia" w:ascii="宋体" w:hAnsi="宋体" w:eastAsia="宋体" w:cs="宋体"/>
          <w:b/>
          <w:color w:val="000000"/>
          <w:sz w:val="32"/>
          <w:highlight w:val="none"/>
        </w:rPr>
      </w:pPr>
    </w:p>
    <w:p w14:paraId="1C486EFD">
      <w:pPr>
        <w:spacing w:line="900" w:lineRule="exact"/>
        <w:jc w:val="center"/>
        <w:rPr>
          <w:rFonts w:hint="eastAsia" w:ascii="宋体" w:hAnsi="宋体" w:eastAsia="宋体" w:cs="宋体"/>
          <w:b/>
          <w:color w:val="000000"/>
          <w:sz w:val="28"/>
          <w:szCs w:val="6"/>
          <w:highlight w:val="none"/>
          <w:lang w:eastAsia="zh-CN"/>
        </w:rPr>
      </w:pPr>
      <w:r>
        <w:rPr>
          <w:rFonts w:hint="eastAsia" w:ascii="宋体" w:hAnsi="宋体" w:eastAsia="宋体" w:cs="宋体"/>
          <w:b/>
          <w:color w:val="000000"/>
          <w:sz w:val="28"/>
          <w:szCs w:val="6"/>
          <w:highlight w:val="none"/>
        </w:rPr>
        <w:t>项目名称：</w:t>
      </w:r>
      <w:r>
        <w:rPr>
          <w:rFonts w:hint="eastAsia" w:ascii="宋体" w:hAnsi="宋体" w:eastAsia="宋体" w:cs="宋体"/>
          <w:b/>
          <w:color w:val="000000"/>
          <w:sz w:val="28"/>
          <w:szCs w:val="6"/>
          <w:highlight w:val="none"/>
          <w:lang w:eastAsia="zh-CN"/>
        </w:rPr>
        <w:t>合肥综合性科学中心环境研究院超光谱团队实验室科研基础设施采购及安装（二次）</w:t>
      </w:r>
    </w:p>
    <w:p w14:paraId="1C3FBAC1">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391D113D">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p>
    <w:p w14:paraId="4CE44555">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280486DB">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p>
    <w:p w14:paraId="034DAB73">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062644D9">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p>
    <w:p w14:paraId="3BC9DADE">
      <w:pPr>
        <w:keepNext w:val="0"/>
        <w:keepLines w:val="0"/>
        <w:pageBreakBefore w:val="0"/>
        <w:widowControl w:val="0"/>
        <w:kinsoku/>
        <w:wordWrap/>
        <w:overflowPunct/>
        <w:topLinePunct w:val="0"/>
        <w:autoSpaceDE/>
        <w:autoSpaceDN/>
        <w:bidi w:val="0"/>
        <w:adjustRightInd/>
        <w:snapToGrid/>
        <w:spacing w:after="100"/>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51E9C204">
      <w:pPr>
        <w:spacing w:after="156" w:afterLines="50" w:line="500" w:lineRule="exact"/>
        <w:jc w:val="center"/>
        <w:rPr>
          <w:rFonts w:hint="eastAsia" w:ascii="宋体" w:hAnsi="宋体" w:eastAsia="宋体" w:cs="宋体"/>
          <w:b/>
          <w:color w:val="000000"/>
          <w:sz w:val="72"/>
          <w:highlight w:val="none"/>
        </w:rPr>
      </w:pPr>
    </w:p>
    <w:p w14:paraId="58AC8F8F">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79C19B98">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bookmarkEnd w:id="64"/>
    <w:p w14:paraId="20DEC647">
      <w:pP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br w:type="page"/>
      </w:r>
    </w:p>
    <w:p w14:paraId="79B53811">
      <w:pPr>
        <w:wordWrap w:val="0"/>
        <w:spacing w:line="36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目录</w:t>
      </w:r>
    </w:p>
    <w:p w14:paraId="65894B60">
      <w:pPr>
        <w:wordWrap w:val="0"/>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（供应商自行编制）</w:t>
      </w:r>
    </w:p>
    <w:p w14:paraId="785E6CF6">
      <w:pPr>
        <w:wordWrap w:val="0"/>
        <w:jc w:val="center"/>
        <w:rPr>
          <w:rFonts w:hint="eastAsia" w:asciiTheme="minorEastAsia" w:hAnsiTheme="minorEastAsia" w:eastAsiaTheme="minorEastAsia" w:cstheme="minorEastAsia"/>
          <w:b/>
          <w:bCs/>
          <w:sz w:val="28"/>
          <w:szCs w:val="28"/>
          <w:highlight w:val="none"/>
        </w:rPr>
      </w:pPr>
    </w:p>
    <w:p w14:paraId="3C7A5AF4">
      <w:pPr>
        <w:wordWrap w:val="0"/>
        <w:jc w:val="center"/>
        <w:rPr>
          <w:rFonts w:hint="eastAsia" w:asciiTheme="minorEastAsia" w:hAnsiTheme="minorEastAsia" w:eastAsiaTheme="minorEastAsia" w:cstheme="minorEastAsia"/>
          <w:b/>
          <w:bCs/>
          <w:sz w:val="28"/>
          <w:szCs w:val="28"/>
          <w:highlight w:val="none"/>
        </w:rPr>
      </w:pPr>
    </w:p>
    <w:p w14:paraId="10297A67">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b w:val="0"/>
          <w:sz w:val="28"/>
          <w:szCs w:val="28"/>
          <w:highlight w:val="none"/>
        </w:rPr>
        <w:br w:type="page"/>
      </w:r>
      <w:r>
        <w:rPr>
          <w:rFonts w:hint="eastAsia" w:asciiTheme="minorEastAsia" w:hAnsiTheme="minorEastAsia" w:eastAsiaTheme="minorEastAsia" w:cstheme="minorEastAsia"/>
          <w:sz w:val="28"/>
          <w:highlight w:val="none"/>
        </w:rPr>
        <w:t>一、法定代表人身份证明或授权委托书</w:t>
      </w:r>
    </w:p>
    <w:p w14:paraId="51DA5741">
      <w:pPr>
        <w:wordWrap w:val="0"/>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法定代表人身份证明书</w:t>
      </w:r>
    </w:p>
    <w:p w14:paraId="6C7FFF62">
      <w:pPr>
        <w:wordWrap w:val="0"/>
        <w:jc w:val="center"/>
        <w:rPr>
          <w:rFonts w:hint="eastAsia" w:asciiTheme="minorEastAsia" w:hAnsiTheme="minorEastAsia" w:eastAsiaTheme="minorEastAsia" w:cstheme="minorEastAsia"/>
          <w:b/>
          <w:sz w:val="28"/>
          <w:szCs w:val="28"/>
          <w:highlight w:val="none"/>
        </w:rPr>
      </w:pPr>
    </w:p>
    <w:p w14:paraId="18E3C562">
      <w:pPr>
        <w:widowControl/>
        <w:wordWrap w:val="0"/>
        <w:spacing w:line="360" w:lineRule="auto"/>
        <w:rPr>
          <w:rFonts w:hint="eastAsia" w:asciiTheme="minorEastAsia" w:hAnsiTheme="minorEastAsia" w:eastAsiaTheme="minorEastAsia" w:cstheme="minorEastAsia"/>
          <w:spacing w:val="3"/>
          <w:highlight w:val="none"/>
        </w:rPr>
      </w:pPr>
      <w:r>
        <w:rPr>
          <w:rFonts w:hint="eastAsia" w:asciiTheme="minorEastAsia" w:hAnsiTheme="minorEastAsia" w:eastAsiaTheme="minorEastAsia" w:cstheme="minorEastAsia"/>
          <w:highlight w:val="none"/>
        </w:rPr>
        <w:t>供应商名称：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3"/>
          <w:highlight w:val="none"/>
          <w:u w:val="single"/>
        </w:rPr>
        <w:t xml:space="preserve"> </w:t>
      </w:r>
      <w:r>
        <w:rPr>
          <w:rFonts w:hint="eastAsia" w:asciiTheme="minorEastAsia" w:hAnsiTheme="minorEastAsia" w:eastAsiaTheme="minorEastAsia" w:cstheme="minorEastAsia"/>
          <w:spacing w:val="3"/>
          <w:highlight w:val="none"/>
        </w:rPr>
        <w:t xml:space="preserve"> </w:t>
      </w:r>
    </w:p>
    <w:p w14:paraId="11D9874F">
      <w:pPr>
        <w:widowControl/>
        <w:wordWrap w:val="0"/>
        <w:spacing w:line="360" w:lineRule="auto"/>
        <w:rPr>
          <w:rFonts w:hint="eastAsia" w:asciiTheme="minorEastAsia" w:hAnsiTheme="minorEastAsia" w:eastAsiaTheme="minorEastAsia" w:cstheme="minorEastAsia"/>
          <w:spacing w:val="26"/>
          <w:highlight w:val="none"/>
        </w:rPr>
      </w:pP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spacing w:val="-1"/>
          <w:highlight w:val="none"/>
        </w:rPr>
        <w:t>性</w:t>
      </w:r>
      <w:r>
        <w:rPr>
          <w:rFonts w:hint="eastAsia" w:asciiTheme="minorEastAsia" w:hAnsiTheme="minorEastAsia" w:eastAsiaTheme="minorEastAsia" w:cstheme="minorEastAsia"/>
          <w:highlight w:val="none"/>
        </w:rPr>
        <w:t>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26"/>
          <w:highlight w:val="none"/>
          <w:u w:val="single"/>
        </w:rPr>
        <w:t xml:space="preserve"> </w:t>
      </w:r>
      <w:r>
        <w:rPr>
          <w:rFonts w:hint="eastAsia" w:asciiTheme="minorEastAsia" w:hAnsiTheme="minorEastAsia" w:eastAsiaTheme="minorEastAsia" w:cstheme="minorEastAsia"/>
          <w:spacing w:val="26"/>
          <w:highlight w:val="none"/>
        </w:rPr>
        <w:t xml:space="preserve"> </w:t>
      </w:r>
    </w:p>
    <w:p w14:paraId="5CE90A57">
      <w:pPr>
        <w:widowControl/>
        <w:wordWrap w:val="0"/>
        <w:spacing w:line="360" w:lineRule="auto"/>
        <w:rPr>
          <w:rFonts w:hint="eastAsia" w:asciiTheme="minorEastAsia" w:hAnsiTheme="minorEastAsia" w:eastAsiaTheme="minorEastAsia" w:cstheme="minorEastAsia"/>
          <w:spacing w:val="10"/>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0"/>
          <w:highlight w:val="none"/>
          <w:u w:val="single"/>
        </w:rPr>
        <w:t xml:space="preserve"> </w:t>
      </w:r>
      <w:r>
        <w:rPr>
          <w:rFonts w:hint="eastAsia" w:asciiTheme="minorEastAsia" w:hAnsiTheme="minorEastAsia" w:eastAsiaTheme="minorEastAsia" w:cstheme="minorEastAsia"/>
          <w:spacing w:val="10"/>
          <w:highlight w:val="none"/>
        </w:rPr>
        <w:t xml:space="preserve"> </w:t>
      </w:r>
    </w:p>
    <w:p w14:paraId="17FD2696">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成立</w:t>
      </w:r>
      <w:r>
        <w:rPr>
          <w:rFonts w:hint="eastAsia" w:asciiTheme="minorEastAsia" w:hAnsiTheme="minorEastAsia" w:eastAsiaTheme="minorEastAsia" w:cstheme="minorEastAsia"/>
          <w:spacing w:val="-1"/>
          <w:highlight w:val="none"/>
        </w:rPr>
        <w:t>时</w:t>
      </w:r>
      <w:r>
        <w:rPr>
          <w:rFonts w:hint="eastAsia" w:asciiTheme="minorEastAsia" w:hAnsiTheme="minorEastAsia" w:eastAsiaTheme="minorEastAsia" w:cstheme="minorEastAsia"/>
          <w:highlight w:val="none"/>
        </w:rPr>
        <w:t>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6"/>
          <w:highlight w:val="none"/>
          <w:u w:val="single"/>
        </w:rPr>
        <w:t xml:space="preserve"> </w:t>
      </w:r>
      <w:r>
        <w:rPr>
          <w:rFonts w:hint="eastAsia" w:asciiTheme="minorEastAsia" w:hAnsiTheme="minorEastAsia" w:eastAsiaTheme="minorEastAsia" w:cstheme="minorEastAsia"/>
          <w:spacing w:val="-1"/>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49"/>
          <w:highlight w:val="none"/>
        </w:rPr>
        <w:t xml:space="preserve"> </w:t>
      </w:r>
      <w:r>
        <w:rPr>
          <w:rFonts w:hint="eastAsia" w:asciiTheme="minorEastAsia" w:hAnsiTheme="minorEastAsia" w:eastAsiaTheme="minorEastAsia" w:cstheme="minorEastAsia"/>
          <w:highlight w:val="none"/>
        </w:rPr>
        <w:t xml:space="preserve">日 </w:t>
      </w:r>
    </w:p>
    <w:p w14:paraId="043306E7">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经营</w:t>
      </w:r>
      <w:r>
        <w:rPr>
          <w:rFonts w:hint="eastAsia" w:asciiTheme="minorEastAsia" w:hAnsiTheme="minorEastAsia" w:eastAsiaTheme="minorEastAsia" w:cstheme="minorEastAsia"/>
          <w:spacing w:val="-1"/>
          <w:highlight w:val="none"/>
        </w:rPr>
        <w:t>期</w:t>
      </w:r>
      <w:r>
        <w:rPr>
          <w:rFonts w:hint="eastAsia" w:asciiTheme="minorEastAsia" w:hAnsiTheme="minorEastAsia" w:eastAsiaTheme="minorEastAsia" w:cstheme="minorEastAsia"/>
          <w:highlight w:val="none"/>
        </w:rPr>
        <w:t>限：</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26"/>
          <w:highlight w:val="none"/>
          <w:u w:val="single"/>
        </w:rPr>
        <w:t xml:space="preserve"> </w:t>
      </w:r>
    </w:p>
    <w:p w14:paraId="5E0B0484">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姓名：</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spacing w:val="-1"/>
          <w:highlight w:val="none"/>
        </w:rPr>
        <w:t>龄</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职务</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w:t>
      </w:r>
    </w:p>
    <w:p w14:paraId="10380A57">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rPr>
        <w:t>供应商名称）的法定代表人。</w:t>
      </w:r>
    </w:p>
    <w:p w14:paraId="7A96C3E8">
      <w:pPr>
        <w:widowControl/>
        <w:wordWrap w:val="0"/>
        <w:spacing w:line="360" w:lineRule="auto"/>
        <w:ind w:right="646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14:paraId="6091D588">
      <w:pPr>
        <w:widowControl/>
        <w:wordWrap w:val="0"/>
        <w:spacing w:before="12" w:line="360" w:lineRule="auto"/>
        <w:rPr>
          <w:rFonts w:hint="eastAsia" w:asciiTheme="minorEastAsia" w:hAnsiTheme="minorEastAsia" w:eastAsiaTheme="minorEastAsia" w:cstheme="minorEastAsia"/>
          <w:highlight w:val="none"/>
        </w:rPr>
      </w:pPr>
    </w:p>
    <w:p w14:paraId="483C82BB">
      <w:pPr>
        <w:widowControl/>
        <w:wordWrap w:val="0"/>
        <w:spacing w:line="360" w:lineRule="auto"/>
        <w:ind w:left="5068" w:right="-20" w:firstLine="840" w:firstLineChars="4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position w:val="-4"/>
          <w:highlight w:val="none"/>
        </w:rPr>
        <w:t>供应商：</w:t>
      </w:r>
      <w:r>
        <w:rPr>
          <w:rFonts w:hint="eastAsia" w:asciiTheme="minorEastAsia" w:hAnsiTheme="minorEastAsia" w:eastAsiaTheme="minorEastAsia" w:cstheme="minorEastAsia"/>
          <w:spacing w:val="42"/>
          <w:position w:val="-4"/>
          <w:highlight w:val="none"/>
          <w:u w:val="single"/>
        </w:rPr>
        <w:t xml:space="preserve"> </w:t>
      </w:r>
      <w:r>
        <w:rPr>
          <w:rFonts w:hint="eastAsia" w:asciiTheme="minorEastAsia" w:hAnsiTheme="minorEastAsia" w:eastAsiaTheme="minorEastAsia" w:cstheme="minorEastAsia"/>
          <w:position w:val="-4"/>
          <w:highlight w:val="none"/>
          <w:u w:val="single"/>
        </w:rPr>
        <w:t xml:space="preserve">       </w:t>
      </w:r>
      <w:r>
        <w:rPr>
          <w:rFonts w:hint="eastAsia" w:asciiTheme="minorEastAsia" w:hAnsiTheme="minorEastAsia" w:eastAsiaTheme="minorEastAsia" w:cstheme="minorEastAsia"/>
          <w:spacing w:val="-1"/>
          <w:position w:val="-4"/>
          <w:highlight w:val="none"/>
        </w:rPr>
        <w:t>（</w:t>
      </w:r>
      <w:r>
        <w:rPr>
          <w:rFonts w:hint="eastAsia" w:asciiTheme="minorEastAsia" w:hAnsiTheme="minorEastAsia" w:eastAsiaTheme="minorEastAsia" w:cstheme="minorEastAsia"/>
          <w:position w:val="-4"/>
          <w:highlight w:val="none"/>
        </w:rPr>
        <w:t>单位盖章）</w:t>
      </w:r>
    </w:p>
    <w:p w14:paraId="2583927B">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2BD899CC">
      <w:pPr>
        <w:widowControl/>
        <w:wordWrap w:val="0"/>
        <w:spacing w:line="360" w:lineRule="auto"/>
        <w:ind w:right="1418"/>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position w:val="-2"/>
          <w:highlight w:val="none"/>
          <w:u w:val="single"/>
        </w:rPr>
        <w:t xml:space="preserve">       </w:t>
      </w:r>
      <w:r>
        <w:rPr>
          <w:rFonts w:hint="eastAsia" w:asciiTheme="minorEastAsia" w:hAnsiTheme="minorEastAsia" w:eastAsiaTheme="minorEastAsia" w:cstheme="minorEastAsia"/>
          <w:spacing w:val="-1"/>
          <w:position w:val="-2"/>
          <w:highlight w:val="none"/>
        </w:rPr>
        <w:t>年</w:t>
      </w:r>
      <w:r>
        <w:rPr>
          <w:rFonts w:hint="eastAsia" w:asciiTheme="minorEastAsia" w:hAnsiTheme="minorEastAsia" w:eastAsiaTheme="minorEastAsia" w:cstheme="minorEastAsia"/>
          <w:spacing w:val="42"/>
          <w:position w:val="-2"/>
          <w:highlight w:val="none"/>
          <w:u w:val="single"/>
        </w:rPr>
        <w:t xml:space="preserve"> </w:t>
      </w:r>
      <w:r>
        <w:rPr>
          <w:rFonts w:hint="eastAsia" w:asciiTheme="minorEastAsia" w:hAnsiTheme="minorEastAsia" w:eastAsiaTheme="minorEastAsia" w:cstheme="minorEastAsia"/>
          <w:position w:val="-2"/>
          <w:highlight w:val="none"/>
          <w:u w:val="single"/>
        </w:rPr>
        <w:t xml:space="preserve">    </w:t>
      </w:r>
      <w:r>
        <w:rPr>
          <w:rFonts w:hint="eastAsia" w:asciiTheme="minorEastAsia" w:hAnsiTheme="minorEastAsia" w:eastAsiaTheme="minorEastAsia" w:cstheme="minorEastAsia"/>
          <w:position w:val="-2"/>
          <w:highlight w:val="none"/>
        </w:rPr>
        <w:t>月</w:t>
      </w:r>
      <w:r>
        <w:rPr>
          <w:rFonts w:hint="eastAsia" w:asciiTheme="minorEastAsia" w:hAnsiTheme="minorEastAsia" w:eastAsiaTheme="minorEastAsia" w:cstheme="minorEastAsia"/>
          <w:spacing w:val="42"/>
          <w:position w:val="-2"/>
          <w:highlight w:val="none"/>
          <w:u w:val="single"/>
        </w:rPr>
        <w:t xml:space="preserve"> </w:t>
      </w:r>
      <w:r>
        <w:rPr>
          <w:rFonts w:hint="eastAsia" w:asciiTheme="minorEastAsia" w:hAnsiTheme="minorEastAsia" w:eastAsiaTheme="minorEastAsia" w:cstheme="minorEastAsia"/>
          <w:position w:val="-2"/>
          <w:highlight w:val="none"/>
          <w:u w:val="single"/>
        </w:rPr>
        <w:t xml:space="preserve">    </w:t>
      </w:r>
      <w:r>
        <w:rPr>
          <w:rFonts w:hint="eastAsia" w:asciiTheme="minorEastAsia" w:hAnsiTheme="minorEastAsia" w:eastAsiaTheme="minorEastAsia" w:cstheme="minorEastAsia"/>
          <w:position w:val="-2"/>
          <w:highlight w:val="none"/>
        </w:rPr>
        <w:t>日</w:t>
      </w:r>
    </w:p>
    <w:p w14:paraId="5A750408">
      <w:pPr>
        <w:widowControl/>
        <w:wordWrap w:val="0"/>
        <w:ind w:left="2874" w:right="-20"/>
        <w:rPr>
          <w:rFonts w:hint="eastAsia" w:asciiTheme="minorEastAsia" w:hAnsiTheme="minorEastAsia" w:eastAsiaTheme="minorEastAsia" w:cstheme="minorEastAsia"/>
          <w:b/>
          <w:bCs/>
          <w:sz w:val="28"/>
          <w:szCs w:val="28"/>
          <w:highlight w:val="none"/>
        </w:rPr>
      </w:pPr>
    </w:p>
    <w:p w14:paraId="79465AAE">
      <w:pPr>
        <w:widowControl/>
        <w:wordWrap w:val="0"/>
        <w:ind w:right="-20"/>
        <w:jc w:val="center"/>
        <w:rPr>
          <w:rFonts w:hint="eastAsia" w:asciiTheme="minorEastAsia" w:hAnsiTheme="minorEastAsia" w:eastAsiaTheme="minorEastAsia" w:cstheme="minorEastAsia"/>
          <w:b/>
          <w:bCs/>
          <w:sz w:val="28"/>
          <w:szCs w:val="28"/>
          <w:highlight w:val="none"/>
        </w:rPr>
      </w:pPr>
    </w:p>
    <w:p w14:paraId="73BD4F14">
      <w:pPr>
        <w:widowControl/>
        <w:wordWrap w:val="0"/>
        <w:ind w:right="-20"/>
        <w:jc w:val="center"/>
        <w:rPr>
          <w:rFonts w:hint="eastAsia" w:asciiTheme="minorEastAsia" w:hAnsiTheme="minorEastAsia" w:eastAsiaTheme="minorEastAsia" w:cstheme="minorEastAsia"/>
          <w:b/>
          <w:bCs/>
          <w:sz w:val="28"/>
          <w:szCs w:val="28"/>
          <w:highlight w:val="none"/>
        </w:rPr>
      </w:pPr>
    </w:p>
    <w:p w14:paraId="3EEF060D">
      <w:pPr>
        <w:widowControl/>
        <w:wordWrap w:val="0"/>
        <w:ind w:right="-20"/>
        <w:jc w:val="center"/>
        <w:rPr>
          <w:rFonts w:hint="eastAsia" w:asciiTheme="minorEastAsia" w:hAnsiTheme="minorEastAsia" w:eastAsiaTheme="minorEastAsia" w:cstheme="minorEastAsia"/>
          <w:b/>
          <w:bCs/>
          <w:sz w:val="28"/>
          <w:szCs w:val="28"/>
          <w:highlight w:val="none"/>
        </w:rPr>
      </w:pPr>
    </w:p>
    <w:p w14:paraId="68E5B830">
      <w:pPr>
        <w:widowControl/>
        <w:wordWrap w:val="0"/>
        <w:ind w:right="-20"/>
        <w:jc w:val="center"/>
        <w:rPr>
          <w:rFonts w:hint="eastAsia" w:asciiTheme="minorEastAsia" w:hAnsiTheme="minorEastAsia" w:eastAsiaTheme="minorEastAsia" w:cstheme="minorEastAsia"/>
          <w:b/>
          <w:bCs/>
          <w:sz w:val="28"/>
          <w:szCs w:val="28"/>
          <w:highlight w:val="none"/>
        </w:rPr>
      </w:pPr>
    </w:p>
    <w:p w14:paraId="1C207393">
      <w:pPr>
        <w:widowControl/>
        <w:wordWrap w:val="0"/>
        <w:ind w:right="-20"/>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法定代表人授权委托书</w:t>
      </w:r>
    </w:p>
    <w:p w14:paraId="01DDF2BB">
      <w:pPr>
        <w:widowControl/>
        <w:wordWrap w:val="0"/>
        <w:spacing w:before="3" w:line="260" w:lineRule="atLeast"/>
        <w:rPr>
          <w:rFonts w:hint="eastAsia" w:asciiTheme="minorEastAsia" w:hAnsiTheme="minorEastAsia" w:eastAsiaTheme="minorEastAsia" w:cstheme="minorEastAsia"/>
          <w:sz w:val="26"/>
          <w:szCs w:val="26"/>
          <w:highlight w:val="none"/>
        </w:rPr>
      </w:pPr>
    </w:p>
    <w:p w14:paraId="7479CCE6">
      <w:pPr>
        <w:widowControl/>
        <w:wordWrap w:val="0"/>
        <w:adjustRightInd w:val="0"/>
        <w:snapToGrid w:val="0"/>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本人</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pacing w:val="-1"/>
          <w:highlight w:val="none"/>
        </w:rPr>
        <w:t>姓</w:t>
      </w:r>
      <w:r>
        <w:rPr>
          <w:rFonts w:hint="eastAsia" w:asciiTheme="minorEastAsia" w:hAnsiTheme="minorEastAsia" w:eastAsiaTheme="minorEastAsia" w:cstheme="minorEastAsia"/>
          <w:highlight w:val="none"/>
        </w:rPr>
        <w:t>名）系</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（供应商名称）</w:t>
      </w:r>
      <w:r>
        <w:rPr>
          <w:rFonts w:hint="eastAsia" w:asciiTheme="minorEastAsia" w:hAnsiTheme="minorEastAsia" w:eastAsiaTheme="minorEastAsia" w:cstheme="minorEastAsia"/>
          <w:spacing w:val="1"/>
          <w:highlight w:val="none"/>
        </w:rPr>
        <w:t>的</w:t>
      </w:r>
      <w:r>
        <w:rPr>
          <w:rFonts w:hint="eastAsia" w:asciiTheme="minorEastAsia" w:hAnsiTheme="minorEastAsia" w:eastAsiaTheme="minorEastAsia" w:cstheme="minorEastAsia"/>
          <w:highlight w:val="none"/>
        </w:rPr>
        <w:t>法定代表</w:t>
      </w:r>
      <w:r>
        <w:rPr>
          <w:rFonts w:hint="eastAsia" w:asciiTheme="minorEastAsia" w:hAnsiTheme="minorEastAsia" w:eastAsiaTheme="minorEastAsia" w:cstheme="minorEastAsia"/>
          <w:spacing w:val="1"/>
          <w:highlight w:val="none"/>
        </w:rPr>
        <w:t>人</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pacing w:val="1"/>
          <w:highlight w:val="none"/>
        </w:rPr>
        <w:t>现</w:t>
      </w:r>
      <w:r>
        <w:rPr>
          <w:rFonts w:hint="eastAsia" w:asciiTheme="minorEastAsia" w:hAnsiTheme="minorEastAsia" w:eastAsiaTheme="minorEastAsia" w:cstheme="minorEastAsia"/>
          <w:highlight w:val="none"/>
        </w:rPr>
        <w:t>委托</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rPr>
        <w:t>姓名）为我方代理人。代理人根据授权，以我方名义签署、澄清、说明、补正、递交</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highlight w:val="none"/>
        </w:rPr>
        <w:t>撤回</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highlight w:val="none"/>
        </w:rPr>
        <w:t>修改</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（项目名</w:t>
      </w:r>
      <w:r>
        <w:rPr>
          <w:rFonts w:hint="eastAsia" w:asciiTheme="minorEastAsia" w:hAnsiTheme="minorEastAsia" w:eastAsiaTheme="minorEastAsia" w:cstheme="minorEastAsia"/>
          <w:spacing w:val="-1"/>
          <w:highlight w:val="none"/>
        </w:rPr>
        <w:t>称</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spacing w:val="-13"/>
          <w:highlight w:val="none"/>
          <w:u w:val="single"/>
        </w:rPr>
        <w:t xml:space="preserve">         </w:t>
      </w:r>
      <w:r>
        <w:rPr>
          <w:rFonts w:hint="eastAsia" w:asciiTheme="minorEastAsia" w:hAnsiTheme="minorEastAsia" w:eastAsiaTheme="minorEastAsia" w:cstheme="minorEastAsia"/>
          <w:spacing w:val="-13"/>
          <w:highlight w:val="none"/>
        </w:rPr>
        <w:t>（标包）</w:t>
      </w:r>
      <w:r>
        <w:rPr>
          <w:rFonts w:hint="eastAsia" w:asciiTheme="minorEastAsia" w:hAnsiTheme="minorEastAsia" w:eastAsiaTheme="minorEastAsia" w:cstheme="minorEastAsia"/>
          <w:highlight w:val="none"/>
        </w:rPr>
        <w:t>响应文件</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highlight w:val="none"/>
        </w:rPr>
        <w:t>签订合同和处理有关事宜，其法律后果由我方承担。</w:t>
      </w:r>
    </w:p>
    <w:p w14:paraId="03BEAA42">
      <w:pPr>
        <w:widowControl/>
        <w:wordWrap w:val="0"/>
        <w:spacing w:before="12" w:line="360" w:lineRule="auto"/>
        <w:ind w:left="556" w:right="5491" w:hanging="1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w:t>
      </w:r>
    </w:p>
    <w:p w14:paraId="4794AF20">
      <w:pPr>
        <w:widowControl/>
        <w:wordWrap w:val="0"/>
        <w:spacing w:line="360" w:lineRule="auto"/>
        <w:rPr>
          <w:rFonts w:hint="eastAsia" w:asciiTheme="minorEastAsia" w:hAnsiTheme="minorEastAsia" w:eastAsiaTheme="minorEastAsia" w:cstheme="minorEastAsia"/>
          <w:highlight w:val="none"/>
        </w:rPr>
      </w:pPr>
    </w:p>
    <w:p w14:paraId="5C6370FC">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p>
    <w:p w14:paraId="050217AC">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身份证号码：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职务：</w:t>
      </w:r>
      <w:r>
        <w:rPr>
          <w:rFonts w:hint="eastAsia" w:asciiTheme="minorEastAsia" w:hAnsiTheme="minorEastAsia" w:eastAsiaTheme="minorEastAsia" w:cstheme="minorEastAsia"/>
          <w:highlight w:val="none"/>
          <w:u w:val="single"/>
        </w:rPr>
        <w:t xml:space="preserve">       </w:t>
      </w:r>
    </w:p>
    <w:p w14:paraId="2ABDFA3D">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u w:val="single"/>
        </w:rPr>
        <w:t xml:space="preserve">                            （单位盖章）</w:t>
      </w:r>
    </w:p>
    <w:p w14:paraId="78A7C821">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u w:val="single"/>
        </w:rPr>
        <w:t xml:space="preserve">                      （签字或盖章）</w:t>
      </w:r>
    </w:p>
    <w:p w14:paraId="6865B658">
      <w:pPr>
        <w:pStyle w:val="97"/>
        <w:wordWrap w:val="0"/>
        <w:spacing w:line="360" w:lineRule="auto"/>
        <w:ind w:firstLine="2604" w:firstLineChars="12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授权委托日期：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14:paraId="605241A8">
      <w:pPr>
        <w:widowControl/>
        <w:wordWrap w:val="0"/>
        <w:rPr>
          <w:rFonts w:hint="eastAsia" w:asciiTheme="minorEastAsia" w:hAnsiTheme="minorEastAsia" w:eastAsiaTheme="minorEastAsia" w:cstheme="minorEastAsia"/>
          <w:highlight w:val="none"/>
        </w:rPr>
      </w:pPr>
    </w:p>
    <w:p w14:paraId="39EFE0EB">
      <w:pPr>
        <w:wordWrap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8"/>
          <w:szCs w:val="30"/>
          <w:highlight w:val="none"/>
        </w:rPr>
        <w:br w:type="page"/>
      </w:r>
      <w:r>
        <w:rPr>
          <w:rStyle w:val="99"/>
          <w:rFonts w:hint="eastAsia" w:asciiTheme="minorEastAsia" w:hAnsiTheme="minorEastAsia" w:eastAsiaTheme="minorEastAsia" w:cstheme="minorEastAsia"/>
          <w:sz w:val="21"/>
          <w:szCs w:val="21"/>
          <w:highlight w:val="none"/>
        </w:rPr>
        <w:t>附：</w:t>
      </w:r>
    </w:p>
    <w:p w14:paraId="38875FC8">
      <w:pPr>
        <w:wordWrap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法定代表人身份证复印件</w:t>
      </w:r>
    </w:p>
    <w:p w14:paraId="2FB196A0">
      <w:pPr>
        <w:wordWrap w:val="0"/>
        <w:rPr>
          <w:rFonts w:hint="eastAsia" w:asciiTheme="minorEastAsia" w:hAnsiTheme="minorEastAsia" w:eastAsiaTheme="minorEastAsia" w:cstheme="minorEastAsia"/>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14:paraId="01C9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4071" w:type="dxa"/>
            <w:vAlign w:val="center"/>
          </w:tcPr>
          <w:p w14:paraId="38E56109">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身份证正面</w:t>
            </w:r>
          </w:p>
        </w:tc>
        <w:tc>
          <w:tcPr>
            <w:tcW w:w="4073" w:type="dxa"/>
            <w:vAlign w:val="center"/>
          </w:tcPr>
          <w:p w14:paraId="318EE262">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身份证反面</w:t>
            </w:r>
          </w:p>
        </w:tc>
      </w:tr>
    </w:tbl>
    <w:p w14:paraId="3FEC499D">
      <w:pPr>
        <w:wordWrap w:val="0"/>
        <w:rPr>
          <w:rFonts w:hint="eastAsia" w:asciiTheme="minorEastAsia" w:hAnsiTheme="minorEastAsia" w:eastAsiaTheme="minorEastAsia" w:cstheme="minorEastAsia"/>
          <w:szCs w:val="21"/>
          <w:highlight w:val="none"/>
        </w:rPr>
      </w:pPr>
    </w:p>
    <w:p w14:paraId="2EAC9311">
      <w:pPr>
        <w:wordWrap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法定代表人授权委托代理人身份证复印件</w:t>
      </w:r>
    </w:p>
    <w:p w14:paraId="4A252BBD">
      <w:pPr>
        <w:wordWrap w:val="0"/>
        <w:rPr>
          <w:rStyle w:val="99"/>
          <w:rFonts w:hint="eastAsia" w:asciiTheme="minorEastAsia" w:hAnsiTheme="minorEastAsia" w:eastAsiaTheme="minorEastAsia" w:cstheme="minorEastAsia"/>
          <w:sz w:val="21"/>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14:paraId="6C5B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1" w:type="dxa"/>
            <w:vAlign w:val="center"/>
          </w:tcPr>
          <w:p w14:paraId="6C1E5ED4">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身份证正面</w:t>
            </w:r>
          </w:p>
        </w:tc>
        <w:tc>
          <w:tcPr>
            <w:tcW w:w="4073" w:type="dxa"/>
            <w:vAlign w:val="center"/>
          </w:tcPr>
          <w:p w14:paraId="5F025CF9">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身份证反面</w:t>
            </w:r>
          </w:p>
        </w:tc>
      </w:tr>
    </w:tbl>
    <w:p w14:paraId="64D9E721">
      <w:pPr>
        <w:wordWrap w:val="0"/>
        <w:spacing w:line="461" w:lineRule="exact"/>
        <w:ind w:right="530"/>
        <w:jc w:val="center"/>
        <w:rPr>
          <w:rFonts w:hint="eastAsia" w:asciiTheme="minorEastAsia" w:hAnsiTheme="minorEastAsia" w:eastAsiaTheme="minorEastAsia" w:cstheme="minorEastAsia"/>
          <w:b/>
          <w:bCs/>
          <w:kern w:val="0"/>
          <w:sz w:val="28"/>
          <w:szCs w:val="28"/>
          <w:highlight w:val="none"/>
        </w:rPr>
      </w:pPr>
    </w:p>
    <w:p w14:paraId="483B27AE">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b w:val="0"/>
          <w:sz w:val="28"/>
          <w:highlight w:val="none"/>
        </w:rPr>
        <w:br w:type="page"/>
      </w:r>
      <w:r>
        <w:rPr>
          <w:rFonts w:hint="eastAsia" w:asciiTheme="minorEastAsia" w:hAnsiTheme="minorEastAsia" w:eastAsiaTheme="minorEastAsia" w:cstheme="minorEastAsia"/>
          <w:sz w:val="28"/>
          <w:highlight w:val="none"/>
        </w:rPr>
        <w:t>二、响应声明</w:t>
      </w:r>
    </w:p>
    <w:p w14:paraId="6BD895D4">
      <w:pPr>
        <w:widowControl/>
        <w:tabs>
          <w:tab w:val="left" w:leader="underscore" w:pos="2880"/>
        </w:tabs>
        <w:wordWrap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致：</w:t>
      </w:r>
      <w:r>
        <w:rPr>
          <w:rFonts w:hint="eastAsia" w:asciiTheme="minorEastAsia" w:hAnsiTheme="minorEastAsia" w:eastAsiaTheme="minorEastAsia" w:cstheme="minorEastAsia"/>
          <w:szCs w:val="21"/>
          <w:highlight w:val="none"/>
          <w:u w:val="single"/>
        </w:rPr>
        <w:t xml:space="preserve">  合肥综合性科学中心环境研究院  </w:t>
      </w:r>
      <w:r>
        <w:rPr>
          <w:rFonts w:hint="eastAsia" w:asciiTheme="minorEastAsia" w:hAnsiTheme="minorEastAsia" w:eastAsiaTheme="minorEastAsia" w:cstheme="minorEastAsia"/>
          <w:szCs w:val="21"/>
          <w:highlight w:val="none"/>
        </w:rPr>
        <w:t>（采购人名称）</w:t>
      </w:r>
    </w:p>
    <w:p w14:paraId="6566BF3C">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1、我方已仔细研究了</w:t>
      </w:r>
      <w:r>
        <w:rPr>
          <w:rFonts w:hint="eastAsia" w:asciiTheme="minorEastAsia" w:hAnsiTheme="minorEastAsia" w:eastAsiaTheme="minorEastAsia" w:cstheme="minorEastAsia"/>
          <w:szCs w:val="21"/>
          <w:highlight w:val="none"/>
          <w:u w:val="single"/>
          <w:lang w:eastAsia="zh-CN"/>
        </w:rPr>
        <w:t>合肥综合性科学中心环境研究院超光谱团队实验室科研基础设施采购及安装（二次）</w:t>
      </w:r>
      <w:r>
        <w:rPr>
          <w:rFonts w:hint="eastAsia" w:asciiTheme="minorEastAsia" w:hAnsiTheme="minorEastAsia" w:eastAsiaTheme="minorEastAsia" w:cstheme="minorEastAsia"/>
          <w:szCs w:val="21"/>
          <w:highlight w:val="none"/>
        </w:rPr>
        <w:t>（项目名称）磋商文件的全部内容，接受你方在采购文件中对供应商的约束条件。我方愿意以我方提出的最后报价，按照采购文件和合同的约定，履行合同义务。</w:t>
      </w:r>
    </w:p>
    <w:p w14:paraId="188EDD5F">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2、我方承诺在采购文件规定的响应有效期内不修改、撤销响应文件</w:t>
      </w:r>
      <w:r>
        <w:rPr>
          <w:rFonts w:hint="eastAsia" w:asciiTheme="minorEastAsia" w:hAnsiTheme="minorEastAsia" w:eastAsiaTheme="minorEastAsia" w:cstheme="minorEastAsia"/>
          <w:highlight w:val="none"/>
        </w:rPr>
        <w:t>，且随时准备接受你方发出的成交通知书</w:t>
      </w:r>
      <w:r>
        <w:rPr>
          <w:rFonts w:hint="eastAsia" w:asciiTheme="minorEastAsia" w:hAnsiTheme="minorEastAsia" w:eastAsiaTheme="minorEastAsia" w:cstheme="minorEastAsia"/>
          <w:szCs w:val="21"/>
          <w:highlight w:val="none"/>
        </w:rPr>
        <w:t>。</w:t>
      </w:r>
    </w:p>
    <w:p w14:paraId="200784D1">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3、我方已详细审查全部采购文件，包括全部澄清、修改、答疑补充文件。我们完全理解并同意放弃对这方面有不明及误解的权力。</w:t>
      </w:r>
    </w:p>
    <w:p w14:paraId="577974F0">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4、我方在此声明，所递交的响应文件及有关资料内容完整、真实和准确，且不存在采购文件规定的任何一种情形。</w:t>
      </w:r>
    </w:p>
    <w:p w14:paraId="5BA29667">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5、如我方被确定为成交供应商：</w:t>
      </w:r>
    </w:p>
    <w:p w14:paraId="188CF394">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（1）我方承诺在收到成交通知书后，在成交通知书规定的期限内与你方签订合同。</w:t>
      </w:r>
    </w:p>
    <w:p w14:paraId="42FDD300">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（2）我方承诺在合同约定的期限内完成规定的服务内容，履行合同规定的各项义务。</w:t>
      </w:r>
    </w:p>
    <w:p w14:paraId="7D282487">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（3）我方承诺工程质量达到合格标准</w:t>
      </w:r>
    </w:p>
    <w:p w14:paraId="436F6CEF">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（4）我方承诺响应文件中承诺的项目管理班子及施工机械设备到位。</w:t>
      </w:r>
    </w:p>
    <w:p w14:paraId="000423F4">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（5）我方承诺用于本项目的主要材料、设备，不低于磋商文件规定和响应文件承诺的合格产品，并在使用之前经建设单位确认后使用。</w:t>
      </w:r>
    </w:p>
    <w:p w14:paraId="25679E7F">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6、我方同意所提交的响应文件在磋商文件的磋商须知前附表规定的响应有效期内有效，在此期间内如果成交，我方将受此约束。</w:t>
      </w:r>
    </w:p>
    <w:p w14:paraId="47B20EDD">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7、我方对响应文件中所提供资料、文件、证书及证件的真实性、合法性和有效性负责。</w:t>
      </w:r>
    </w:p>
    <w:p w14:paraId="530183FD">
      <w:pPr>
        <w:widowControl/>
        <w:tabs>
          <w:tab w:val="left" w:leader="underscore" w:pos="3600"/>
          <w:tab w:val="left" w:leader="underscore" w:pos="5400"/>
        </w:tabs>
        <w:wordWrap w:val="0"/>
        <w:spacing w:line="400" w:lineRule="exact"/>
        <w:ind w:firstLine="422" w:firstLineChars="200"/>
        <w:rPr>
          <w:rFonts w:hint="eastAsia" w:asciiTheme="minorEastAsia" w:hAnsiTheme="minorEastAsia" w:eastAsiaTheme="minorEastAsia" w:cstheme="minorEastAsia"/>
          <w:b/>
          <w:highlight w:val="none"/>
          <w:u w:val="single"/>
        </w:rPr>
      </w:pPr>
      <w:r>
        <w:rPr>
          <w:rFonts w:hint="eastAsia" w:asciiTheme="minorEastAsia" w:hAnsiTheme="minorEastAsia" w:eastAsiaTheme="minorEastAsia" w:cstheme="minorEastAsia"/>
          <w:b/>
          <w:highlight w:val="none"/>
        </w:rPr>
        <w:t>8、其他补充说明：</w:t>
      </w:r>
      <w:r>
        <w:rPr>
          <w:rFonts w:hint="eastAsia" w:asciiTheme="minorEastAsia" w:hAnsiTheme="minorEastAsia" w:eastAsiaTheme="minorEastAsia" w:cstheme="minorEastAsia"/>
          <w:b/>
          <w:highlight w:val="none"/>
          <w:u w:val="single"/>
        </w:rPr>
        <w:t xml:space="preserve">                                               </w:t>
      </w:r>
    </w:p>
    <w:p w14:paraId="147CB8DC">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（盖</w:t>
      </w:r>
      <w:r>
        <w:rPr>
          <w:rFonts w:hint="eastAsia" w:asciiTheme="minorEastAsia" w:hAnsiTheme="minorEastAsia" w:eastAsiaTheme="minorEastAsia" w:cstheme="minorEastAsia"/>
          <w:spacing w:val="-1"/>
          <w:highlight w:val="none"/>
        </w:rPr>
        <w:t>单</w:t>
      </w:r>
      <w:r>
        <w:rPr>
          <w:rFonts w:hint="eastAsia" w:asciiTheme="minorEastAsia" w:hAnsiTheme="minorEastAsia" w:eastAsiaTheme="minorEastAsia" w:cstheme="minorEastAsia"/>
          <w:highlight w:val="none"/>
        </w:rPr>
        <w:t>位章）</w:t>
      </w:r>
    </w:p>
    <w:p w14:paraId="2B07CECB">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法定代表人（或负责人等）或其委托代理人</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 xml:space="preserve">（签字或盖章） </w:t>
      </w:r>
    </w:p>
    <w:p w14:paraId="2BD096DA">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地</w:t>
      </w:r>
      <w:r>
        <w:rPr>
          <w:rFonts w:hint="eastAsia" w:asciiTheme="minorEastAsia" w:hAnsiTheme="minorEastAsia" w:eastAsiaTheme="minorEastAsia" w:cstheme="minorEastAsia"/>
          <w:spacing w:val="1"/>
          <w:highlight w:val="none"/>
        </w:rPr>
        <w:t>址</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
          <w:highlight w:val="none"/>
        </w:rPr>
        <w:t>邮</w:t>
      </w:r>
      <w:r>
        <w:rPr>
          <w:rFonts w:hint="eastAsia" w:asciiTheme="minorEastAsia" w:hAnsiTheme="minorEastAsia" w:eastAsiaTheme="minorEastAsia" w:cstheme="minorEastAsia"/>
          <w:highlight w:val="none"/>
        </w:rPr>
        <w:t>编</w:t>
      </w:r>
      <w:r>
        <w:rPr>
          <w:rFonts w:hint="eastAsia" w:asciiTheme="minorEastAsia" w:hAnsiTheme="minorEastAsia" w:eastAsiaTheme="minorEastAsia" w:cstheme="minorEastAsia"/>
          <w:highlight w:val="none"/>
          <w:u w:val="single"/>
        </w:rPr>
        <w:t xml:space="preserve">                            </w:t>
      </w:r>
    </w:p>
    <w:p w14:paraId="3E6E64B0">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电</w:t>
      </w:r>
      <w:r>
        <w:rPr>
          <w:rFonts w:hint="eastAsia" w:asciiTheme="minorEastAsia" w:hAnsiTheme="minorEastAsia" w:eastAsiaTheme="minorEastAsia" w:cstheme="minorEastAsia"/>
          <w:spacing w:val="1"/>
          <w:highlight w:val="none"/>
        </w:rPr>
        <w:t>话</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
          <w:highlight w:val="none"/>
        </w:rPr>
        <w:t>传</w:t>
      </w:r>
      <w:r>
        <w:rPr>
          <w:rFonts w:hint="eastAsia" w:asciiTheme="minorEastAsia" w:hAnsiTheme="minorEastAsia" w:eastAsiaTheme="minorEastAsia" w:cstheme="minorEastAsia"/>
          <w:highlight w:val="none"/>
        </w:rPr>
        <w:t>真</w:t>
      </w:r>
      <w:r>
        <w:rPr>
          <w:rFonts w:hint="eastAsia" w:asciiTheme="minorEastAsia" w:hAnsiTheme="minorEastAsia" w:eastAsiaTheme="minorEastAsia" w:cstheme="minorEastAsia"/>
          <w:highlight w:val="none"/>
          <w:u w:val="single"/>
        </w:rPr>
        <w:t xml:space="preserve">                       </w:t>
      </w:r>
    </w:p>
    <w:p w14:paraId="0D318D30">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电子邮箱</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网址：</w:t>
      </w:r>
      <w:r>
        <w:rPr>
          <w:rFonts w:hint="eastAsia" w:asciiTheme="minorEastAsia" w:hAnsiTheme="minorEastAsia" w:eastAsiaTheme="minorEastAsia" w:cstheme="minorEastAsia"/>
          <w:highlight w:val="none"/>
          <w:u w:val="single"/>
        </w:rPr>
        <w:t xml:space="preserve">                       </w:t>
      </w:r>
    </w:p>
    <w:p w14:paraId="754A0638">
      <w:pPr>
        <w:pStyle w:val="97"/>
        <w:wordWrap w:val="0"/>
        <w:spacing w:line="200" w:lineRule="atLeas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 xml:space="preserve">                       </w:t>
      </w:r>
    </w:p>
    <w:p w14:paraId="032B1128">
      <w:pPr>
        <w:pStyle w:val="97"/>
        <w:wordWrap w:val="0"/>
        <w:spacing w:line="200" w:lineRule="atLeast"/>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0"/>
          <w:szCs w:val="20"/>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日</w:t>
      </w:r>
    </w:p>
    <w:p w14:paraId="1878A4BF">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b w:val="0"/>
          <w:highlight w:val="none"/>
        </w:rPr>
        <w:br w:type="page"/>
      </w:r>
      <w:r>
        <w:rPr>
          <w:rFonts w:hint="eastAsia" w:asciiTheme="minorEastAsia" w:hAnsiTheme="minorEastAsia" w:eastAsiaTheme="minorEastAsia" w:cstheme="minorEastAsia"/>
          <w:sz w:val="28"/>
          <w:highlight w:val="none"/>
        </w:rPr>
        <w:t>三、响应报价表</w:t>
      </w:r>
    </w:p>
    <w:p w14:paraId="3CE630A6">
      <w:pPr>
        <w:wordWrap w:val="0"/>
        <w:rPr>
          <w:rFonts w:hint="eastAsia" w:asciiTheme="minorEastAsia" w:hAnsiTheme="minorEastAsia" w:eastAsiaTheme="minorEastAsia" w:cstheme="minorEastAsia"/>
          <w:highlight w:val="none"/>
        </w:rPr>
      </w:pPr>
    </w:p>
    <w:tbl>
      <w:tblPr>
        <w:tblStyle w:val="32"/>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1676"/>
        <w:gridCol w:w="6616"/>
      </w:tblGrid>
      <w:tr w14:paraId="7AEA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702" w:type="dxa"/>
            <w:vAlign w:val="center"/>
          </w:tcPr>
          <w:p w14:paraId="4CFA8C1C">
            <w:pPr>
              <w:widowControl/>
              <w:wordWrap w:val="0"/>
              <w:adjustRightInd w:val="0"/>
              <w:snapToGrid w:val="0"/>
              <w:spacing w:line="30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673" w:type="dxa"/>
            <w:vAlign w:val="center"/>
          </w:tcPr>
          <w:p w14:paraId="0FD4C385">
            <w:pPr>
              <w:widowControl/>
              <w:wordWrap w:val="0"/>
              <w:adjustRightInd w:val="0"/>
              <w:snapToGrid w:val="0"/>
              <w:spacing w:line="30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w:t>
            </w:r>
          </w:p>
        </w:tc>
        <w:tc>
          <w:tcPr>
            <w:tcW w:w="6624" w:type="dxa"/>
            <w:vAlign w:val="center"/>
          </w:tcPr>
          <w:p w14:paraId="08C6B1F0">
            <w:pPr>
              <w:widowControl/>
              <w:wordWrap w:val="0"/>
              <w:adjustRightInd w:val="0"/>
              <w:snapToGrid w:val="0"/>
              <w:spacing w:line="30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内容</w:t>
            </w:r>
          </w:p>
        </w:tc>
      </w:tr>
      <w:tr w14:paraId="4724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702" w:type="dxa"/>
            <w:vAlign w:val="center"/>
          </w:tcPr>
          <w:p w14:paraId="1A0A7B5E">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0A486876">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6624" w:type="dxa"/>
            <w:vAlign w:val="center"/>
          </w:tcPr>
          <w:p w14:paraId="2956B91F">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合肥综合性科学中心环境研究院超光谱团队实验室科研基础设施采购及安装（二次）</w:t>
            </w:r>
          </w:p>
        </w:tc>
      </w:tr>
      <w:tr w14:paraId="52E8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702" w:type="dxa"/>
            <w:vAlign w:val="center"/>
          </w:tcPr>
          <w:p w14:paraId="32B568F2">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tc>
        <w:tc>
          <w:tcPr>
            <w:tcW w:w="1673" w:type="dxa"/>
            <w:vAlign w:val="center"/>
          </w:tcPr>
          <w:p w14:paraId="2483218F">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报价（元）</w:t>
            </w:r>
          </w:p>
        </w:tc>
        <w:tc>
          <w:tcPr>
            <w:tcW w:w="6624" w:type="dxa"/>
            <w:vAlign w:val="center"/>
          </w:tcPr>
          <w:p w14:paraId="024206EF">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p w14:paraId="32679802">
            <w:pPr>
              <w:wordWrap w:val="0"/>
              <w:adjustRightInd w:val="0"/>
              <w:snapToGrid w:val="0"/>
              <w:spacing w:line="300" w:lineRule="auto"/>
              <w:jc w:val="center"/>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大写：</w:t>
            </w:r>
            <w:r>
              <w:rPr>
                <w:rFonts w:hint="eastAsia" w:asciiTheme="minorEastAsia" w:hAnsiTheme="minorEastAsia" w:eastAsiaTheme="minorEastAsia" w:cstheme="minorEastAsia"/>
                <w:szCs w:val="21"/>
                <w:highlight w:val="none"/>
                <w:u w:val="single"/>
              </w:rPr>
              <w:t xml:space="preserve">          </w:t>
            </w:r>
          </w:p>
          <w:p w14:paraId="0316DC43">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p w14:paraId="2E2EEB06">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小写：</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70B9B4B8">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tc>
      </w:tr>
      <w:tr w14:paraId="4E95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4666B1D8">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5D240A35">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响应有效期</w:t>
            </w:r>
          </w:p>
        </w:tc>
        <w:tc>
          <w:tcPr>
            <w:tcW w:w="6624" w:type="dxa"/>
            <w:vAlign w:val="center"/>
          </w:tcPr>
          <w:p w14:paraId="5188F7E9">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712F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3C815EEC">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64A2C6C6">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工期</w:t>
            </w:r>
          </w:p>
        </w:tc>
        <w:tc>
          <w:tcPr>
            <w:tcW w:w="6624" w:type="dxa"/>
            <w:vAlign w:val="center"/>
          </w:tcPr>
          <w:p w14:paraId="4B8DD4EC">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20B2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7DDBE4E8">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56A963D3">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工程质量</w:t>
            </w:r>
          </w:p>
        </w:tc>
        <w:tc>
          <w:tcPr>
            <w:tcW w:w="6624" w:type="dxa"/>
            <w:vAlign w:val="center"/>
          </w:tcPr>
          <w:p w14:paraId="1BA9771C">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14C6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702" w:type="dxa"/>
            <w:vAlign w:val="center"/>
          </w:tcPr>
          <w:p w14:paraId="19FD11D1">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29451C40">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付款方式</w:t>
            </w:r>
          </w:p>
        </w:tc>
        <w:tc>
          <w:tcPr>
            <w:tcW w:w="6624" w:type="dxa"/>
            <w:vAlign w:val="center"/>
          </w:tcPr>
          <w:p w14:paraId="2D9826B6">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5A6CD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531FB3E4">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14F9E1CA">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备注</w:t>
            </w:r>
          </w:p>
        </w:tc>
        <w:tc>
          <w:tcPr>
            <w:tcW w:w="6624" w:type="dxa"/>
            <w:vAlign w:val="center"/>
          </w:tcPr>
          <w:p w14:paraId="3C1C0413">
            <w:pPr>
              <w:widowControl/>
              <w:wordWrap w:val="0"/>
              <w:adjustRightInd w:val="0"/>
              <w:snapToGrid w:val="0"/>
              <w:spacing w:line="300" w:lineRule="auto"/>
              <w:jc w:val="center"/>
              <w:rPr>
                <w:rFonts w:hint="eastAsia" w:asciiTheme="minorEastAsia" w:hAnsiTheme="minorEastAsia" w:eastAsiaTheme="minorEastAsia" w:cstheme="minorEastAsia"/>
                <w:bCs/>
                <w:szCs w:val="21"/>
                <w:highlight w:val="none"/>
              </w:rPr>
            </w:pPr>
          </w:p>
        </w:tc>
      </w:tr>
    </w:tbl>
    <w:p w14:paraId="29D8AB4B">
      <w:pPr>
        <w:wordWrap w:val="0"/>
        <w:rPr>
          <w:rFonts w:hint="eastAsia" w:asciiTheme="minorEastAsia" w:hAnsiTheme="minorEastAsia" w:eastAsiaTheme="minorEastAsia" w:cstheme="minorEastAsia"/>
          <w:highlight w:val="none"/>
        </w:rPr>
      </w:pPr>
    </w:p>
    <w:p w14:paraId="63800BB2">
      <w:pPr>
        <w:wordWrap w:val="0"/>
        <w:jc w:val="right"/>
        <w:rPr>
          <w:rFonts w:hint="eastAsia" w:asciiTheme="minorEastAsia" w:hAnsiTheme="minorEastAsia" w:eastAsiaTheme="minorEastAsia" w:cstheme="minorEastAsia"/>
          <w:highlight w:val="none"/>
        </w:rPr>
      </w:pPr>
    </w:p>
    <w:p w14:paraId="157645EF">
      <w:pPr>
        <w:wordWrap w:val="0"/>
        <w:adjustRightInd w:val="0"/>
        <w:snapToGrid w:val="0"/>
        <w:spacing w:line="600" w:lineRule="auto"/>
        <w:jc w:val="right"/>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供应商名称：</w:t>
      </w:r>
      <w:r>
        <w:rPr>
          <w:rFonts w:hint="eastAsia" w:asciiTheme="minorEastAsia" w:hAnsiTheme="minorEastAsia" w:eastAsiaTheme="minorEastAsia" w:cstheme="minorEastAsia"/>
          <w:szCs w:val="21"/>
          <w:highlight w:val="none"/>
          <w:u w:val="single"/>
        </w:rPr>
        <w:t xml:space="preserve">               盖章                    </w:t>
      </w:r>
    </w:p>
    <w:p w14:paraId="3616577F">
      <w:pPr>
        <w:wordWrap w:val="0"/>
        <w:adjustRightInd w:val="0"/>
        <w:snapToGrid w:val="0"/>
        <w:spacing w:line="600" w:lineRule="auto"/>
        <w:jc w:val="right"/>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法定代表人或委托代理人</w:t>
      </w:r>
      <w:r>
        <w:rPr>
          <w:rFonts w:hint="eastAsia" w:asciiTheme="minorEastAsia" w:hAnsiTheme="minorEastAsia" w:eastAsiaTheme="minorEastAsia" w:cstheme="minorEastAsia"/>
          <w:szCs w:val="21"/>
          <w:highlight w:val="none"/>
          <w:u w:val="single"/>
        </w:rPr>
        <w:t xml:space="preserve">：      签字或盖章                 </w:t>
      </w:r>
    </w:p>
    <w:p w14:paraId="76912478">
      <w:pPr>
        <w:wordWrap w:val="0"/>
        <w:adjustRightInd w:val="0"/>
        <w:snapToGrid w:val="0"/>
        <w:spacing w:line="600" w:lineRule="auto"/>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日期：</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日 </w:t>
      </w:r>
    </w:p>
    <w:p w14:paraId="641D3181">
      <w:pPr>
        <w:pStyle w:val="5"/>
        <w:widowControl/>
        <w:spacing w:before="120" w:after="120" w:line="24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四</w:t>
      </w:r>
      <w:r>
        <w:rPr>
          <w:rStyle w:val="99"/>
          <w:rFonts w:hint="eastAsia" w:asciiTheme="minorEastAsia" w:hAnsiTheme="minorEastAsia" w:eastAsiaTheme="minorEastAsia" w:cstheme="minorEastAsia"/>
          <w:b/>
          <w:bCs w:val="0"/>
          <w:sz w:val="30"/>
          <w:szCs w:val="30"/>
          <w:highlight w:val="none"/>
        </w:rPr>
        <w:t>、供应商综合情况简介</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536"/>
        <w:gridCol w:w="1418"/>
        <w:gridCol w:w="1276"/>
        <w:gridCol w:w="1559"/>
        <w:gridCol w:w="1417"/>
        <w:gridCol w:w="1242"/>
      </w:tblGrid>
      <w:tr w14:paraId="00C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7"/>
            <w:vAlign w:val="center"/>
          </w:tcPr>
          <w:p w14:paraId="6DCA827A">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采购供应商信息表</w:t>
            </w:r>
          </w:p>
        </w:tc>
      </w:tr>
      <w:tr w14:paraId="04DF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7"/>
            <w:vAlign w:val="center"/>
          </w:tcPr>
          <w:p w14:paraId="754D4D9A">
            <w:pPr>
              <w:widowControl/>
              <w:adjustRightInd w:val="0"/>
              <w:snapToGrid w:val="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项目名称： </w:t>
            </w:r>
          </w:p>
        </w:tc>
      </w:tr>
      <w:tr w14:paraId="465D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7"/>
            <w:vAlign w:val="center"/>
          </w:tcPr>
          <w:p w14:paraId="59D84BB3">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项目编号：</w:t>
            </w:r>
          </w:p>
        </w:tc>
      </w:tr>
      <w:tr w14:paraId="1C40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Align w:val="center"/>
          </w:tcPr>
          <w:p w14:paraId="37E22B57">
            <w:pPr>
              <w:widowControl/>
              <w:spacing w:line="24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Cs w:val="21"/>
                <w:highlight w:val="none"/>
              </w:rPr>
              <w:t>项目</w:t>
            </w:r>
            <w:r>
              <w:rPr>
                <w:rFonts w:hint="eastAsia" w:asciiTheme="minorEastAsia" w:hAnsiTheme="minorEastAsia" w:eastAsiaTheme="minorEastAsia" w:cstheme="minorEastAsia"/>
                <w:kern w:val="0"/>
                <w:szCs w:val="21"/>
                <w:highlight w:val="none"/>
                <w:lang w:eastAsia="en-US"/>
              </w:rPr>
              <w:t>信息</w:t>
            </w:r>
          </w:p>
        </w:tc>
        <w:tc>
          <w:tcPr>
            <w:tcW w:w="1536" w:type="dxa"/>
            <w:vAlign w:val="center"/>
          </w:tcPr>
          <w:p w14:paraId="7A23EC4E">
            <w:pPr>
              <w:widowControl/>
              <w:spacing w:line="240" w:lineRule="exact"/>
              <w:jc w:val="center"/>
              <w:rPr>
                <w:rFonts w:hint="eastAsia" w:asciiTheme="minorEastAsia" w:hAnsiTheme="minorEastAsia" w:eastAsiaTheme="minorEastAsia" w:cstheme="minorEastAsia"/>
                <w:szCs w:val="21"/>
                <w:highlight w:val="none"/>
                <w:lang w:eastAsia="en-US"/>
              </w:rPr>
            </w:pPr>
            <w:r>
              <w:rPr>
                <w:rFonts w:hint="eastAsia" w:asciiTheme="minorEastAsia" w:hAnsiTheme="minorEastAsia" w:eastAsiaTheme="minorEastAsia" w:cstheme="minorEastAsia"/>
                <w:kern w:val="0"/>
                <w:szCs w:val="21"/>
                <w:highlight w:val="none"/>
                <w:lang w:eastAsia="en-US"/>
              </w:rPr>
              <w:t>企业全称</w:t>
            </w:r>
          </w:p>
        </w:tc>
        <w:tc>
          <w:tcPr>
            <w:tcW w:w="6912" w:type="dxa"/>
            <w:gridSpan w:val="5"/>
            <w:vAlign w:val="center"/>
          </w:tcPr>
          <w:p w14:paraId="286092AA">
            <w:pPr>
              <w:keepNext/>
              <w:keepLines/>
              <w:widowControl/>
              <w:spacing w:before="120" w:after="120"/>
              <w:ind w:right="630"/>
              <w:jc w:val="right"/>
              <w:outlineLvl w:val="1"/>
              <w:rPr>
                <w:rFonts w:hint="eastAsia" w:asciiTheme="minorEastAsia" w:hAnsiTheme="minorEastAsia" w:eastAsiaTheme="minorEastAsia" w:cstheme="minorEastAsia"/>
                <w:b/>
                <w:bCs/>
                <w:highlight w:val="none"/>
              </w:rPr>
            </w:pPr>
          </w:p>
        </w:tc>
      </w:tr>
      <w:tr w14:paraId="38BD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restart"/>
            <w:vAlign w:val="center"/>
          </w:tcPr>
          <w:p w14:paraId="7C99CAE1">
            <w:pPr>
              <w:spacing w:before="31"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en-US"/>
              </w:rPr>
              <w:t>企业基本信息</w:t>
            </w:r>
          </w:p>
        </w:tc>
        <w:tc>
          <w:tcPr>
            <w:tcW w:w="1536" w:type="dxa"/>
            <w:vAlign w:val="center"/>
          </w:tcPr>
          <w:p w14:paraId="5BEFE595">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19"/>
                <w:szCs w:val="21"/>
                <w:highlight w:val="none"/>
                <w:lang w:eastAsia="en-US"/>
              </w:rPr>
              <w:t>公司地址</w:t>
            </w:r>
          </w:p>
        </w:tc>
        <w:tc>
          <w:tcPr>
            <w:tcW w:w="1418" w:type="dxa"/>
            <w:vAlign w:val="center"/>
          </w:tcPr>
          <w:p w14:paraId="5F6039A4">
            <w:pPr>
              <w:jc w:val="center"/>
              <w:rPr>
                <w:rFonts w:hint="eastAsia" w:asciiTheme="minorEastAsia" w:hAnsiTheme="minorEastAsia" w:eastAsiaTheme="minorEastAsia" w:cstheme="minorEastAsia"/>
                <w:szCs w:val="21"/>
                <w:highlight w:val="none"/>
              </w:rPr>
            </w:pPr>
          </w:p>
        </w:tc>
        <w:tc>
          <w:tcPr>
            <w:tcW w:w="1276" w:type="dxa"/>
            <w:vAlign w:val="center"/>
          </w:tcPr>
          <w:p w14:paraId="7F9A0103">
            <w:pPr>
              <w:jc w:val="center"/>
              <w:rPr>
                <w:rFonts w:hint="eastAsia" w:asciiTheme="minorEastAsia" w:hAnsiTheme="minorEastAsia" w:eastAsiaTheme="minorEastAsia" w:cstheme="minorEastAsia"/>
                <w:szCs w:val="21"/>
                <w:highlight w:val="none"/>
              </w:rPr>
            </w:pPr>
          </w:p>
        </w:tc>
        <w:tc>
          <w:tcPr>
            <w:tcW w:w="1559" w:type="dxa"/>
            <w:vAlign w:val="center"/>
          </w:tcPr>
          <w:p w14:paraId="530A9C43">
            <w:pPr>
              <w:widowControl/>
              <w:spacing w:line="240" w:lineRule="exact"/>
              <w:jc w:val="center"/>
              <w:rPr>
                <w:rFonts w:hint="eastAsia" w:asciiTheme="minorEastAsia" w:hAnsiTheme="minorEastAsia" w:eastAsiaTheme="minorEastAsia" w:cstheme="minorEastAsia"/>
                <w:kern w:val="0"/>
                <w:szCs w:val="21"/>
                <w:highlight w:val="none"/>
                <w:lang w:eastAsia="en-US"/>
              </w:rPr>
            </w:pPr>
            <w:r>
              <w:rPr>
                <w:rFonts w:hint="eastAsia" w:asciiTheme="minorEastAsia" w:hAnsiTheme="minorEastAsia" w:eastAsiaTheme="minorEastAsia" w:cstheme="minorEastAsia"/>
                <w:spacing w:val="-21"/>
                <w:kern w:val="0"/>
                <w:szCs w:val="21"/>
                <w:highlight w:val="none"/>
                <w:lang w:eastAsia="en-US"/>
              </w:rPr>
              <w:t>联系人及联</w:t>
            </w:r>
          </w:p>
          <w:p w14:paraId="1DF06DAB">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0"/>
                <w:kern w:val="0"/>
                <w:szCs w:val="21"/>
                <w:highlight w:val="none"/>
                <w:lang w:eastAsia="en-US"/>
              </w:rPr>
              <w:t>系电话</w:t>
            </w:r>
          </w:p>
        </w:tc>
        <w:tc>
          <w:tcPr>
            <w:tcW w:w="2659" w:type="dxa"/>
            <w:gridSpan w:val="2"/>
            <w:vAlign w:val="center"/>
          </w:tcPr>
          <w:p w14:paraId="7A600558">
            <w:pPr>
              <w:rPr>
                <w:rFonts w:hint="eastAsia" w:asciiTheme="minorEastAsia" w:hAnsiTheme="minorEastAsia" w:eastAsiaTheme="minorEastAsia" w:cstheme="minorEastAsia"/>
                <w:szCs w:val="21"/>
                <w:highlight w:val="none"/>
              </w:rPr>
            </w:pPr>
          </w:p>
        </w:tc>
      </w:tr>
      <w:tr w14:paraId="6A4D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5455EB67">
            <w:pPr>
              <w:rPr>
                <w:rFonts w:hint="eastAsia" w:asciiTheme="minorEastAsia" w:hAnsiTheme="minorEastAsia" w:eastAsiaTheme="minorEastAsia" w:cstheme="minorEastAsia"/>
                <w:szCs w:val="21"/>
                <w:highlight w:val="none"/>
              </w:rPr>
            </w:pPr>
          </w:p>
        </w:tc>
        <w:tc>
          <w:tcPr>
            <w:tcW w:w="1536" w:type="dxa"/>
            <w:vAlign w:val="center"/>
          </w:tcPr>
          <w:p w14:paraId="79D73DCE">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是否在皖设立分值机构</w:t>
            </w:r>
          </w:p>
        </w:tc>
        <w:tc>
          <w:tcPr>
            <w:tcW w:w="1418" w:type="dxa"/>
            <w:vAlign w:val="center"/>
          </w:tcPr>
          <w:p w14:paraId="2E18C569">
            <w:pPr>
              <w:jc w:val="center"/>
              <w:rPr>
                <w:rFonts w:hint="eastAsia" w:asciiTheme="minorEastAsia" w:hAnsiTheme="minorEastAsia" w:eastAsiaTheme="minorEastAsia" w:cstheme="minorEastAsia"/>
                <w:szCs w:val="21"/>
                <w:highlight w:val="none"/>
              </w:rPr>
            </w:pPr>
          </w:p>
        </w:tc>
        <w:tc>
          <w:tcPr>
            <w:tcW w:w="1276" w:type="dxa"/>
            <w:vAlign w:val="center"/>
          </w:tcPr>
          <w:p w14:paraId="0611228A">
            <w:pPr>
              <w:jc w:val="center"/>
              <w:rPr>
                <w:rFonts w:hint="eastAsia" w:asciiTheme="minorEastAsia" w:hAnsiTheme="minorEastAsia" w:eastAsiaTheme="minorEastAsia" w:cstheme="minorEastAsia"/>
                <w:szCs w:val="21"/>
                <w:highlight w:val="none"/>
              </w:rPr>
            </w:pPr>
          </w:p>
        </w:tc>
        <w:tc>
          <w:tcPr>
            <w:tcW w:w="1559" w:type="dxa"/>
            <w:vAlign w:val="center"/>
          </w:tcPr>
          <w:p w14:paraId="4D02989E">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分支机构分类</w:t>
            </w:r>
          </w:p>
        </w:tc>
        <w:tc>
          <w:tcPr>
            <w:tcW w:w="2659" w:type="dxa"/>
            <w:gridSpan w:val="2"/>
            <w:vAlign w:val="center"/>
          </w:tcPr>
          <w:p w14:paraId="27CA55D1">
            <w:pPr>
              <w:rPr>
                <w:rFonts w:hint="eastAsia" w:asciiTheme="minorEastAsia" w:hAnsiTheme="minorEastAsia" w:eastAsiaTheme="minorEastAsia" w:cstheme="minorEastAsia"/>
                <w:szCs w:val="21"/>
                <w:highlight w:val="none"/>
              </w:rPr>
            </w:pPr>
          </w:p>
        </w:tc>
      </w:tr>
      <w:tr w14:paraId="1B33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185B943F">
            <w:pPr>
              <w:rPr>
                <w:rFonts w:hint="eastAsia" w:asciiTheme="minorEastAsia" w:hAnsiTheme="minorEastAsia" w:eastAsiaTheme="minorEastAsia" w:cstheme="minorEastAsia"/>
                <w:szCs w:val="21"/>
                <w:highlight w:val="none"/>
              </w:rPr>
            </w:pPr>
          </w:p>
        </w:tc>
        <w:tc>
          <w:tcPr>
            <w:tcW w:w="1536" w:type="dxa"/>
            <w:vAlign w:val="center"/>
          </w:tcPr>
          <w:p w14:paraId="06E079A0">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19"/>
                <w:szCs w:val="21"/>
                <w:highlight w:val="none"/>
              </w:rPr>
              <w:t>企业规模</w:t>
            </w:r>
          </w:p>
        </w:tc>
        <w:tc>
          <w:tcPr>
            <w:tcW w:w="1418" w:type="dxa"/>
            <w:vAlign w:val="center"/>
          </w:tcPr>
          <w:p w14:paraId="586CF7B2">
            <w:pPr>
              <w:jc w:val="center"/>
              <w:rPr>
                <w:rFonts w:hint="eastAsia" w:asciiTheme="minorEastAsia" w:hAnsiTheme="minorEastAsia" w:eastAsiaTheme="minorEastAsia" w:cstheme="minorEastAsia"/>
                <w:szCs w:val="21"/>
                <w:highlight w:val="none"/>
              </w:rPr>
            </w:pPr>
          </w:p>
        </w:tc>
        <w:tc>
          <w:tcPr>
            <w:tcW w:w="1276" w:type="dxa"/>
            <w:vAlign w:val="center"/>
          </w:tcPr>
          <w:p w14:paraId="6B809D0E">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注册资本</w:t>
            </w:r>
          </w:p>
        </w:tc>
        <w:tc>
          <w:tcPr>
            <w:tcW w:w="1559" w:type="dxa"/>
            <w:vAlign w:val="center"/>
          </w:tcPr>
          <w:p w14:paraId="29258AC0">
            <w:pPr>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1417" w:type="dxa"/>
            <w:vAlign w:val="center"/>
          </w:tcPr>
          <w:p w14:paraId="2F41ACE5">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0"/>
                <w:szCs w:val="21"/>
                <w:highlight w:val="none"/>
              </w:rPr>
              <w:t>总资产</w:t>
            </w:r>
          </w:p>
        </w:tc>
        <w:tc>
          <w:tcPr>
            <w:tcW w:w="1242" w:type="dxa"/>
            <w:vAlign w:val="center"/>
          </w:tcPr>
          <w:p w14:paraId="5B884D4F">
            <w:pPr>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5FDA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65FBC44A">
            <w:pPr>
              <w:rPr>
                <w:rFonts w:hint="eastAsia" w:asciiTheme="minorEastAsia" w:hAnsiTheme="minorEastAsia" w:eastAsiaTheme="minorEastAsia" w:cstheme="minorEastAsia"/>
                <w:szCs w:val="21"/>
                <w:highlight w:val="none"/>
              </w:rPr>
            </w:pPr>
          </w:p>
        </w:tc>
        <w:tc>
          <w:tcPr>
            <w:tcW w:w="1536" w:type="dxa"/>
            <w:vAlign w:val="center"/>
          </w:tcPr>
          <w:p w14:paraId="21D8C293">
            <w:pPr>
              <w:jc w:val="center"/>
              <w:rPr>
                <w:rFonts w:hint="eastAsia" w:asciiTheme="minorEastAsia" w:hAnsiTheme="minorEastAsia" w:eastAsiaTheme="minorEastAsia" w:cstheme="minorEastAsia"/>
                <w:spacing w:val="-19"/>
                <w:szCs w:val="21"/>
                <w:highlight w:val="none"/>
              </w:rPr>
            </w:pPr>
            <w:r>
              <w:rPr>
                <w:rFonts w:hint="eastAsia" w:asciiTheme="minorEastAsia" w:hAnsiTheme="minorEastAsia" w:eastAsiaTheme="minorEastAsia" w:cstheme="minorEastAsia"/>
                <w:spacing w:val="-19"/>
                <w:szCs w:val="21"/>
                <w:highlight w:val="none"/>
              </w:rPr>
              <w:t>企业性质</w:t>
            </w:r>
          </w:p>
        </w:tc>
        <w:tc>
          <w:tcPr>
            <w:tcW w:w="1418" w:type="dxa"/>
            <w:vAlign w:val="center"/>
          </w:tcPr>
          <w:p w14:paraId="28CFAEFD">
            <w:pPr>
              <w:jc w:val="center"/>
              <w:rPr>
                <w:rFonts w:hint="eastAsia" w:asciiTheme="minorEastAsia" w:hAnsiTheme="minorEastAsia" w:eastAsiaTheme="minorEastAsia" w:cstheme="minorEastAsia"/>
                <w:szCs w:val="21"/>
                <w:highlight w:val="none"/>
              </w:rPr>
            </w:pPr>
          </w:p>
        </w:tc>
        <w:tc>
          <w:tcPr>
            <w:tcW w:w="1276" w:type="dxa"/>
            <w:vAlign w:val="center"/>
          </w:tcPr>
          <w:p w14:paraId="76D4BA7B">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所属产业</w:t>
            </w:r>
          </w:p>
        </w:tc>
        <w:tc>
          <w:tcPr>
            <w:tcW w:w="1559" w:type="dxa"/>
            <w:vAlign w:val="center"/>
          </w:tcPr>
          <w:p w14:paraId="725125DB">
            <w:pPr>
              <w:jc w:val="center"/>
              <w:rPr>
                <w:rFonts w:hint="eastAsia" w:asciiTheme="minorEastAsia" w:hAnsiTheme="minorEastAsia" w:eastAsiaTheme="minorEastAsia" w:cstheme="minorEastAsia"/>
                <w:szCs w:val="21"/>
                <w:highlight w:val="none"/>
              </w:rPr>
            </w:pPr>
          </w:p>
        </w:tc>
        <w:tc>
          <w:tcPr>
            <w:tcW w:w="1417" w:type="dxa"/>
            <w:vAlign w:val="center"/>
          </w:tcPr>
          <w:p w14:paraId="5FEAB3FA">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所属行业</w:t>
            </w:r>
          </w:p>
        </w:tc>
        <w:tc>
          <w:tcPr>
            <w:tcW w:w="1242" w:type="dxa"/>
            <w:vAlign w:val="center"/>
          </w:tcPr>
          <w:p w14:paraId="69EE8654">
            <w:pPr>
              <w:rPr>
                <w:rFonts w:hint="eastAsia" w:asciiTheme="minorEastAsia" w:hAnsiTheme="minorEastAsia" w:eastAsiaTheme="minorEastAsia" w:cstheme="minorEastAsia"/>
                <w:szCs w:val="21"/>
                <w:highlight w:val="none"/>
              </w:rPr>
            </w:pPr>
          </w:p>
        </w:tc>
      </w:tr>
      <w:tr w14:paraId="2187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754CAA28">
            <w:pPr>
              <w:rPr>
                <w:rFonts w:hint="eastAsia" w:asciiTheme="minorEastAsia" w:hAnsiTheme="minorEastAsia" w:eastAsiaTheme="minorEastAsia" w:cstheme="minorEastAsia"/>
                <w:szCs w:val="21"/>
                <w:highlight w:val="none"/>
              </w:rPr>
            </w:pPr>
          </w:p>
        </w:tc>
        <w:tc>
          <w:tcPr>
            <w:tcW w:w="1536" w:type="dxa"/>
            <w:vAlign w:val="center"/>
          </w:tcPr>
          <w:p w14:paraId="177C650B">
            <w:pPr>
              <w:jc w:val="center"/>
              <w:rPr>
                <w:rFonts w:hint="eastAsia" w:asciiTheme="minorEastAsia" w:hAnsiTheme="minorEastAsia" w:eastAsiaTheme="minorEastAsia" w:cstheme="minorEastAsia"/>
                <w:spacing w:val="-19"/>
                <w:szCs w:val="21"/>
                <w:highlight w:val="none"/>
              </w:rPr>
            </w:pPr>
            <w:r>
              <w:rPr>
                <w:rFonts w:hint="eastAsia" w:asciiTheme="minorEastAsia" w:hAnsiTheme="minorEastAsia" w:eastAsiaTheme="minorEastAsia" w:cstheme="minorEastAsia"/>
                <w:spacing w:val="-19"/>
                <w:szCs w:val="21"/>
                <w:highlight w:val="none"/>
              </w:rPr>
              <w:t>是否特殊企业</w:t>
            </w:r>
          </w:p>
        </w:tc>
        <w:tc>
          <w:tcPr>
            <w:tcW w:w="1418" w:type="dxa"/>
            <w:vAlign w:val="center"/>
          </w:tcPr>
          <w:p w14:paraId="3F719D2C">
            <w:pPr>
              <w:jc w:val="center"/>
              <w:rPr>
                <w:rFonts w:hint="eastAsia" w:asciiTheme="minorEastAsia" w:hAnsiTheme="minorEastAsia" w:eastAsiaTheme="minorEastAsia" w:cstheme="minorEastAsia"/>
                <w:szCs w:val="21"/>
                <w:highlight w:val="none"/>
              </w:rPr>
            </w:pPr>
          </w:p>
        </w:tc>
        <w:tc>
          <w:tcPr>
            <w:tcW w:w="1276" w:type="dxa"/>
            <w:vAlign w:val="center"/>
          </w:tcPr>
          <w:p w14:paraId="5608BCCA">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就业人数</w:t>
            </w:r>
          </w:p>
        </w:tc>
        <w:tc>
          <w:tcPr>
            <w:tcW w:w="1559" w:type="dxa"/>
            <w:vAlign w:val="center"/>
          </w:tcPr>
          <w:p w14:paraId="4CDEF12D">
            <w:pPr>
              <w:jc w:val="center"/>
              <w:rPr>
                <w:rFonts w:hint="eastAsia" w:asciiTheme="minorEastAsia" w:hAnsiTheme="minorEastAsia" w:eastAsiaTheme="minorEastAsia" w:cstheme="minorEastAsia"/>
                <w:szCs w:val="21"/>
                <w:highlight w:val="none"/>
              </w:rPr>
            </w:pPr>
          </w:p>
        </w:tc>
        <w:tc>
          <w:tcPr>
            <w:tcW w:w="1417" w:type="dxa"/>
            <w:vAlign w:val="center"/>
          </w:tcPr>
          <w:p w14:paraId="09E48551">
            <w:pPr>
              <w:widowControl/>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kern w:val="0"/>
                <w:szCs w:val="21"/>
                <w:highlight w:val="none"/>
              </w:rPr>
              <w:t>残疾人等特殊群</w:t>
            </w:r>
            <w:r>
              <w:rPr>
                <w:rFonts w:hint="eastAsia" w:asciiTheme="minorEastAsia" w:hAnsiTheme="minorEastAsia" w:eastAsiaTheme="minorEastAsia" w:cstheme="minorEastAsia"/>
                <w:spacing w:val="-20"/>
                <w:kern w:val="0"/>
                <w:szCs w:val="21"/>
                <w:highlight w:val="none"/>
              </w:rPr>
              <w:t>体人数</w:t>
            </w:r>
          </w:p>
        </w:tc>
        <w:tc>
          <w:tcPr>
            <w:tcW w:w="1242" w:type="dxa"/>
            <w:vAlign w:val="center"/>
          </w:tcPr>
          <w:p w14:paraId="449F4013">
            <w:pPr>
              <w:rPr>
                <w:rFonts w:hint="eastAsia" w:asciiTheme="minorEastAsia" w:hAnsiTheme="minorEastAsia" w:eastAsiaTheme="minorEastAsia" w:cstheme="minorEastAsia"/>
                <w:szCs w:val="21"/>
                <w:highlight w:val="none"/>
              </w:rPr>
            </w:pPr>
          </w:p>
        </w:tc>
      </w:tr>
      <w:tr w14:paraId="216C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9854" w:type="dxa"/>
            <w:gridSpan w:val="7"/>
            <w:vAlign w:val="center"/>
          </w:tcPr>
          <w:p w14:paraId="4F296A54">
            <w:pPr>
              <w:spacing w:before="156" w:beforeLines="50" w:line="48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供应商公章：</w:t>
            </w:r>
          </w:p>
          <w:p w14:paraId="3DB5A7EA">
            <w:pPr>
              <w:spacing w:line="48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填表日期：</w:t>
            </w:r>
          </w:p>
        </w:tc>
      </w:tr>
      <w:tr w14:paraId="1351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4" w:hRule="atLeast"/>
        </w:trPr>
        <w:tc>
          <w:tcPr>
            <w:tcW w:w="9854" w:type="dxa"/>
            <w:gridSpan w:val="7"/>
            <w:vAlign w:val="center"/>
          </w:tcPr>
          <w:p w14:paraId="3101D55D">
            <w:pPr>
              <w:spacing w:before="156" w:beforeLines="50"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填表说明： </w:t>
            </w:r>
          </w:p>
          <w:p w14:paraId="68C6C5CD">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1、请填表人认真、准确填写，并加盖单位公章。 </w:t>
            </w:r>
          </w:p>
          <w:p w14:paraId="49E3B8E7">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2、“分支机构分类”对应填写“分公司”、“办事处”“其他分支机构”。 </w:t>
            </w:r>
          </w:p>
          <w:p w14:paraId="47DC5C3F">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3、“企业规模”参照《中小企业划型标准规定》对应填写“大型企业”、“中型企业”、“小型企业”、“微型企业”。 </w:t>
            </w:r>
          </w:p>
          <w:p w14:paraId="30C6BF7B">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4、“注册资本”、“总资产”等金额均以“万元”为单位。 </w:t>
            </w:r>
          </w:p>
          <w:p w14:paraId="159DC36C">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5、“企业性质”对应填写“国有及国有控股”、“民营企业”、“集体企业”、“中外合资”、“外商 独资”。 </w:t>
            </w:r>
          </w:p>
          <w:p w14:paraId="4EC10E4A">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6、“所属产业”对应填写“第一产业”、“第二产业”、“第三产业”。第一产业是指农林牧渔业; 第二产业是指采矿业、制造业，电力、燃气及水的生产和供应业，建筑业;第三产业是指除第 一、二产业以外的其他行业。 </w:t>
            </w:r>
          </w:p>
          <w:p w14:paraId="6210BD06">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7、“所属行业”对应填写“农林牧渔业”、“工业”、“建筑业”、“批发零售业”、“交通运输业”、 “仓储业”、“邮政业”、“住宿餐饮业”、“信息传输和信息服务业”、“房地产业”、“其他”。 </w:t>
            </w:r>
          </w:p>
          <w:p w14:paraId="6A691B2C">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8.“是否特殊企业”对应填写“军转自主择业创业企业”、“残疾人就业企业”、“再就业扶持企 业”、“高新技术企业”、“软件企业”、“监狱企业”、“非特殊企业”。</w:t>
            </w:r>
          </w:p>
        </w:tc>
      </w:tr>
    </w:tbl>
    <w:p w14:paraId="74CD6F87">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五、工程量清单报价表</w:t>
      </w:r>
    </w:p>
    <w:tbl>
      <w:tblPr>
        <w:tblStyle w:val="32"/>
        <w:tblpPr w:leftFromText="180" w:rightFromText="180" w:vertAnchor="text" w:horzAnchor="page" w:tblpXSpec="center" w:tblpY="288"/>
        <w:tblOverlap w:val="never"/>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53"/>
        <w:gridCol w:w="3209"/>
        <w:gridCol w:w="1142"/>
        <w:gridCol w:w="1214"/>
        <w:gridCol w:w="1254"/>
      </w:tblGrid>
      <w:tr w14:paraId="7FC6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00" w:type="dxa"/>
            <w:noWrap w:val="0"/>
            <w:vAlign w:val="center"/>
          </w:tcPr>
          <w:p w14:paraId="79445CF4">
            <w:pPr>
              <w:snapToGrid w:val="0"/>
              <w:jc w:val="center"/>
              <w:rPr>
                <w:rFonts w:ascii="仿宋" w:hAnsi="仿宋" w:eastAsia="仿宋"/>
                <w:b/>
                <w:bCs/>
                <w:color w:val="auto"/>
                <w:kern w:val="0"/>
                <w:sz w:val="24"/>
                <w:highlight w:val="none"/>
              </w:rPr>
            </w:pPr>
            <w:r>
              <w:rPr>
                <w:rFonts w:ascii="仿宋" w:hAnsi="仿宋" w:eastAsia="仿宋"/>
                <w:b/>
                <w:bCs/>
                <w:color w:val="auto"/>
                <w:kern w:val="0"/>
                <w:sz w:val="24"/>
                <w:highlight w:val="none"/>
              </w:rPr>
              <w:t>序号</w:t>
            </w:r>
          </w:p>
        </w:tc>
        <w:tc>
          <w:tcPr>
            <w:tcW w:w="1353" w:type="dxa"/>
            <w:noWrap w:val="0"/>
            <w:vAlign w:val="center"/>
          </w:tcPr>
          <w:p w14:paraId="10F5951E">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lang w:val="en-US" w:eastAsia="zh-CN"/>
              </w:rPr>
              <w:t>工程</w:t>
            </w:r>
            <w:r>
              <w:rPr>
                <w:rFonts w:ascii="仿宋" w:hAnsi="仿宋" w:eastAsia="仿宋"/>
                <w:b/>
                <w:bCs/>
                <w:color w:val="auto"/>
                <w:kern w:val="0"/>
                <w:sz w:val="24"/>
                <w:highlight w:val="none"/>
              </w:rPr>
              <w:t>名称</w:t>
            </w:r>
          </w:p>
        </w:tc>
        <w:tc>
          <w:tcPr>
            <w:tcW w:w="3209" w:type="dxa"/>
            <w:noWrap w:val="0"/>
            <w:vAlign w:val="center"/>
          </w:tcPr>
          <w:p w14:paraId="06444BC5">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lang w:val="en-US" w:eastAsia="zh-CN"/>
              </w:rPr>
              <w:t>技术</w:t>
            </w:r>
            <w:r>
              <w:rPr>
                <w:rFonts w:ascii="仿宋" w:hAnsi="仿宋" w:eastAsia="仿宋"/>
                <w:b/>
                <w:bCs/>
                <w:color w:val="auto"/>
                <w:kern w:val="0"/>
                <w:sz w:val="24"/>
                <w:highlight w:val="none"/>
              </w:rPr>
              <w:t>参数</w:t>
            </w:r>
          </w:p>
        </w:tc>
        <w:tc>
          <w:tcPr>
            <w:tcW w:w="1142" w:type="dxa"/>
            <w:noWrap w:val="0"/>
            <w:vAlign w:val="center"/>
          </w:tcPr>
          <w:p w14:paraId="45BA8D72">
            <w:pPr>
              <w:snapToGrid w:val="0"/>
              <w:jc w:val="center"/>
              <w:rPr>
                <w:rFonts w:ascii="仿宋" w:hAnsi="仿宋" w:eastAsia="仿宋"/>
                <w:b/>
                <w:bCs/>
                <w:color w:val="auto"/>
                <w:kern w:val="0"/>
                <w:sz w:val="24"/>
                <w:highlight w:val="none"/>
              </w:rPr>
            </w:pPr>
            <w:r>
              <w:rPr>
                <w:rFonts w:ascii="仿宋" w:hAnsi="仿宋" w:eastAsia="仿宋"/>
                <w:b/>
                <w:bCs/>
                <w:color w:val="auto"/>
                <w:kern w:val="0"/>
                <w:sz w:val="24"/>
                <w:highlight w:val="none"/>
              </w:rPr>
              <w:t>数量</w:t>
            </w:r>
          </w:p>
        </w:tc>
        <w:tc>
          <w:tcPr>
            <w:tcW w:w="1214" w:type="dxa"/>
            <w:noWrap w:val="0"/>
            <w:vAlign w:val="center"/>
          </w:tcPr>
          <w:p w14:paraId="370FB5E4">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综合单价（元）</w:t>
            </w:r>
          </w:p>
        </w:tc>
        <w:tc>
          <w:tcPr>
            <w:tcW w:w="1254" w:type="dxa"/>
            <w:noWrap w:val="0"/>
            <w:vAlign w:val="center"/>
          </w:tcPr>
          <w:p w14:paraId="58E32860">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szCs w:val="24"/>
                <w:highlight w:val="none"/>
              </w:rPr>
              <w:t>综合合价（元）</w:t>
            </w:r>
          </w:p>
        </w:tc>
      </w:tr>
      <w:tr w14:paraId="3DBE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17EAF9F2">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3" w:type="dxa"/>
            <w:noWrap w:val="0"/>
            <w:vAlign w:val="center"/>
          </w:tcPr>
          <w:p w14:paraId="5D1288F7">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val="0"/>
                <w:color w:val="000000"/>
                <w:sz w:val="21"/>
                <w:szCs w:val="21"/>
                <w:highlight w:val="none"/>
              </w:rPr>
              <w:t>石背板</w:t>
            </w:r>
            <w:r>
              <w:rPr>
                <w:rFonts w:hint="eastAsia" w:ascii="宋体" w:hAnsi="宋体" w:eastAsia="宋体" w:cs="宋体"/>
                <w:color w:val="000000"/>
                <w:sz w:val="21"/>
                <w:szCs w:val="21"/>
                <w:highlight w:val="none"/>
              </w:rPr>
              <w:t>造型</w:t>
            </w:r>
            <w:r>
              <w:rPr>
                <w:rFonts w:hint="eastAsia" w:ascii="宋体" w:hAnsi="宋体" w:eastAsia="宋体" w:cs="宋体"/>
                <w:b w:val="0"/>
                <w:color w:val="000000"/>
                <w:sz w:val="21"/>
                <w:szCs w:val="21"/>
                <w:highlight w:val="none"/>
              </w:rPr>
              <w:t>吊顶</w:t>
            </w:r>
          </w:p>
        </w:tc>
        <w:tc>
          <w:tcPr>
            <w:tcW w:w="3209" w:type="dxa"/>
            <w:noWrap w:val="0"/>
            <w:vAlign w:val="center"/>
          </w:tcPr>
          <w:p w14:paraId="42C55C96">
            <w:pPr>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b w:val="0"/>
                <w:color w:val="000000"/>
                <w:sz w:val="21"/>
                <w:szCs w:val="21"/>
                <w:highlight w:val="none"/>
              </w:rPr>
              <w:t>38系列主龙</w:t>
            </w:r>
            <w:r>
              <w:rPr>
                <w:rFonts w:hint="eastAsia" w:ascii="宋体" w:hAnsi="宋体" w:eastAsia="宋体" w:cs="宋体"/>
                <w:b w:val="0"/>
                <w:color w:val="000000"/>
                <w:sz w:val="21"/>
                <w:szCs w:val="21"/>
                <w:highlight w:val="none"/>
                <w:lang w:val="en-US" w:eastAsia="zh-CN"/>
              </w:rPr>
              <w:t>骨</w:t>
            </w:r>
            <w:r>
              <w:rPr>
                <w:rFonts w:hint="eastAsia" w:ascii="宋体" w:hAnsi="宋体" w:eastAsia="宋体" w:cs="宋体"/>
                <w:b w:val="0"/>
                <w:color w:val="000000"/>
                <w:sz w:val="21"/>
                <w:szCs w:val="21"/>
                <w:highlight w:val="none"/>
              </w:rPr>
              <w:t>0.8mm厚</w:t>
            </w:r>
            <w:r>
              <w:rPr>
                <w:rFonts w:hint="eastAsia" w:ascii="宋体" w:hAnsi="宋体" w:eastAsia="宋体" w:cs="宋体"/>
                <w:b w:val="0"/>
                <w:color w:val="000000"/>
                <w:sz w:val="21"/>
                <w:szCs w:val="21"/>
                <w:highlight w:val="none"/>
                <w:lang w:val="en-US" w:eastAsia="zh-CN"/>
              </w:rPr>
              <w:t>间距</w:t>
            </w:r>
            <w:r>
              <w:rPr>
                <w:rFonts w:hint="eastAsia" w:ascii="宋体" w:hAnsi="宋体" w:eastAsia="宋体" w:cs="宋体"/>
                <w:b w:val="0"/>
                <w:color w:val="000000"/>
                <w:sz w:val="21"/>
                <w:szCs w:val="21"/>
                <w:highlight w:val="none"/>
              </w:rPr>
              <w:t>900，50副龙骨0.5mm厚间</w:t>
            </w:r>
            <w:r>
              <w:rPr>
                <w:rFonts w:hint="eastAsia" w:ascii="宋体" w:hAnsi="宋体" w:eastAsia="宋体" w:cs="宋体"/>
                <w:b w:val="0"/>
                <w:color w:val="000000"/>
                <w:sz w:val="21"/>
                <w:szCs w:val="21"/>
                <w:highlight w:val="none"/>
                <w:lang w:val="en-US" w:eastAsia="zh-CN"/>
              </w:rPr>
              <w:t>距</w:t>
            </w:r>
            <w:r>
              <w:rPr>
                <w:rFonts w:hint="eastAsia" w:ascii="宋体" w:hAnsi="宋体" w:eastAsia="宋体" w:cs="宋体"/>
                <w:b w:val="0"/>
                <w:color w:val="000000"/>
                <w:sz w:val="21"/>
                <w:szCs w:val="21"/>
                <w:highlight w:val="none"/>
              </w:rPr>
              <w:t>300，9.5mm国标</w:t>
            </w:r>
            <w:r>
              <w:rPr>
                <w:rFonts w:hint="eastAsia" w:ascii="宋体" w:hAnsi="宋体" w:eastAsia="宋体" w:cs="宋体"/>
                <w:b w:val="0"/>
                <w:color w:val="000000"/>
                <w:sz w:val="21"/>
                <w:szCs w:val="21"/>
                <w:highlight w:val="none"/>
                <w:lang w:val="en-US" w:eastAsia="zh-CN"/>
              </w:rPr>
              <w:t>石膏板，</w:t>
            </w:r>
            <w:r>
              <w:rPr>
                <w:rFonts w:hint="eastAsia" w:ascii="宋体" w:hAnsi="宋体" w:eastAsia="宋体" w:cs="宋体"/>
                <w:b w:val="0"/>
                <w:color w:val="000000"/>
                <w:sz w:val="21"/>
                <w:szCs w:val="21"/>
                <w:highlight w:val="none"/>
              </w:rPr>
              <w:t>国标轻钢龙骨</w:t>
            </w:r>
            <w:r>
              <w:rPr>
                <w:rFonts w:hint="eastAsia" w:ascii="宋体" w:hAnsi="宋体" w:eastAsia="宋体" w:cs="宋体"/>
                <w:b w:val="0"/>
                <w:color w:val="000000"/>
                <w:sz w:val="21"/>
                <w:szCs w:val="21"/>
                <w:highlight w:val="none"/>
                <w:lang w:eastAsia="zh-CN"/>
              </w:rPr>
              <w:t>。</w:t>
            </w:r>
          </w:p>
        </w:tc>
        <w:tc>
          <w:tcPr>
            <w:tcW w:w="1142" w:type="dxa"/>
            <w:noWrap w:val="0"/>
            <w:vAlign w:val="center"/>
          </w:tcPr>
          <w:p w14:paraId="28E1735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450m</w:t>
            </w:r>
            <w:r>
              <w:rPr>
                <w:rFonts w:hint="eastAsia" w:ascii="宋体" w:hAnsi="宋体" w:eastAsia="宋体" w:cs="宋体"/>
                <w:color w:val="auto"/>
                <w:kern w:val="0"/>
                <w:sz w:val="21"/>
                <w:szCs w:val="21"/>
                <w:highlight w:val="none"/>
                <w:vertAlign w:val="superscript"/>
                <w:lang w:val="en-US" w:eastAsia="zh-CN"/>
              </w:rPr>
              <w:t>2</w:t>
            </w:r>
          </w:p>
        </w:tc>
        <w:tc>
          <w:tcPr>
            <w:tcW w:w="1214" w:type="dxa"/>
            <w:noWrap w:val="0"/>
            <w:vAlign w:val="center"/>
          </w:tcPr>
          <w:p w14:paraId="604BCC59">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03317493">
            <w:pPr>
              <w:snapToGrid w:val="0"/>
              <w:jc w:val="center"/>
              <w:rPr>
                <w:rFonts w:hint="eastAsia" w:ascii="宋体" w:hAnsi="宋体" w:eastAsia="宋体" w:cs="宋体"/>
                <w:color w:val="auto"/>
                <w:kern w:val="0"/>
                <w:sz w:val="21"/>
                <w:szCs w:val="21"/>
                <w:highlight w:val="none"/>
              </w:rPr>
            </w:pPr>
          </w:p>
        </w:tc>
      </w:tr>
      <w:tr w14:paraId="6BDF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7D4DAD46">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53" w:type="dxa"/>
            <w:noWrap w:val="0"/>
            <w:vAlign w:val="center"/>
          </w:tcPr>
          <w:p w14:paraId="612C4A1B">
            <w:pPr>
              <w:widowControl/>
              <w:jc w:val="center"/>
              <w:textAlignment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000000"/>
                <w:sz w:val="21"/>
                <w:szCs w:val="21"/>
                <w:highlight w:val="none"/>
              </w:rPr>
              <w:t>铝</w:t>
            </w:r>
            <w:r>
              <w:rPr>
                <w:rFonts w:hint="eastAsia" w:ascii="宋体" w:hAnsi="宋体" w:eastAsia="宋体" w:cs="宋体"/>
                <w:b w:val="0"/>
                <w:color w:val="000000"/>
                <w:sz w:val="21"/>
                <w:szCs w:val="21"/>
                <w:highlight w:val="none"/>
              </w:rPr>
              <w:t>方通吊顶</w:t>
            </w:r>
          </w:p>
        </w:tc>
        <w:tc>
          <w:tcPr>
            <w:tcW w:w="3209" w:type="dxa"/>
            <w:noWrap w:val="0"/>
            <w:vAlign w:val="center"/>
          </w:tcPr>
          <w:p w14:paraId="45BF1463">
            <w:pPr>
              <w:jc w:val="center"/>
              <w:rPr>
                <w:rFonts w:hint="eastAsia" w:ascii="宋体" w:hAnsi="宋体" w:eastAsia="宋体" w:cs="宋体"/>
                <w:color w:val="auto"/>
                <w:kern w:val="0"/>
                <w:sz w:val="21"/>
                <w:szCs w:val="21"/>
                <w:highlight w:val="none"/>
                <w:lang w:bidi="ar"/>
              </w:rPr>
            </w:pPr>
            <w:r>
              <w:rPr>
                <w:rFonts w:hint="eastAsia" w:ascii="宋体" w:hAnsi="宋体" w:eastAsia="宋体" w:cs="宋体"/>
                <w:b w:val="0"/>
                <w:color w:val="000000"/>
                <w:sz w:val="21"/>
                <w:szCs w:val="21"/>
                <w:highlight w:val="none"/>
              </w:rPr>
              <w:t>8mm吊筋，</w:t>
            </w:r>
            <w:r>
              <w:rPr>
                <w:rFonts w:hint="eastAsia" w:ascii="宋体" w:hAnsi="宋体" w:eastAsia="宋体" w:cs="宋体"/>
                <w:color w:val="000000"/>
                <w:sz w:val="21"/>
                <w:szCs w:val="21"/>
                <w:highlight w:val="none"/>
              </w:rPr>
              <w:t>4</w:t>
            </w:r>
            <w:r>
              <w:rPr>
                <w:rFonts w:hint="eastAsia" w:ascii="宋体" w:hAnsi="宋体" w:eastAsia="宋体" w:cs="宋体"/>
                <w:b w:val="0"/>
                <w:color w:val="000000"/>
                <w:sz w:val="21"/>
                <w:szCs w:val="21"/>
                <w:highlight w:val="none"/>
              </w:rPr>
              <w:t>0*100mm,厚0.4mm,间距150mm（</w:t>
            </w:r>
            <w:r>
              <w:rPr>
                <w:rFonts w:hint="eastAsia" w:ascii="宋体" w:hAnsi="宋体" w:eastAsia="宋体" w:cs="宋体"/>
                <w:color w:val="000000"/>
                <w:sz w:val="21"/>
                <w:szCs w:val="21"/>
                <w:highlight w:val="none"/>
              </w:rPr>
              <w:t>国</w:t>
            </w:r>
            <w:r>
              <w:rPr>
                <w:rFonts w:hint="eastAsia" w:ascii="宋体" w:hAnsi="宋体" w:eastAsia="宋体" w:cs="宋体"/>
                <w:b w:val="0"/>
                <w:color w:val="000000"/>
                <w:sz w:val="21"/>
                <w:szCs w:val="21"/>
                <w:highlight w:val="none"/>
              </w:rPr>
              <w:t>标）</w:t>
            </w:r>
          </w:p>
        </w:tc>
        <w:tc>
          <w:tcPr>
            <w:tcW w:w="1142" w:type="dxa"/>
            <w:noWrap w:val="0"/>
            <w:vAlign w:val="center"/>
          </w:tcPr>
          <w:p w14:paraId="635399B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b w:val="0"/>
                <w:color w:val="000000"/>
                <w:sz w:val="21"/>
                <w:szCs w:val="21"/>
                <w:highlight w:val="none"/>
              </w:rPr>
              <w:t>1160</w:t>
            </w:r>
            <w:r>
              <w:rPr>
                <w:rFonts w:hint="eastAsia" w:ascii="宋体" w:hAnsi="宋体" w:eastAsia="宋体" w:cs="宋体"/>
                <w:b w:val="0"/>
                <w:color w:val="000000"/>
                <w:sz w:val="21"/>
                <w:szCs w:val="21"/>
                <w:highlight w:val="none"/>
                <w:lang w:val="en-US" w:eastAsia="zh-CN"/>
              </w:rPr>
              <w:t>m</w:t>
            </w:r>
            <w:r>
              <w:rPr>
                <w:rFonts w:hint="eastAsia" w:ascii="宋体" w:hAnsi="宋体" w:eastAsia="宋体" w:cs="宋体"/>
                <w:b w:val="0"/>
                <w:color w:val="000000"/>
                <w:sz w:val="21"/>
                <w:szCs w:val="21"/>
                <w:highlight w:val="none"/>
                <w:vertAlign w:val="superscript"/>
                <w:lang w:val="en-US" w:eastAsia="zh-CN"/>
              </w:rPr>
              <w:t>2</w:t>
            </w:r>
          </w:p>
        </w:tc>
        <w:tc>
          <w:tcPr>
            <w:tcW w:w="1214" w:type="dxa"/>
            <w:noWrap w:val="0"/>
            <w:vAlign w:val="center"/>
          </w:tcPr>
          <w:p w14:paraId="2CCE390A">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09EAB0DB">
            <w:pPr>
              <w:snapToGrid w:val="0"/>
              <w:jc w:val="center"/>
              <w:rPr>
                <w:rFonts w:hint="eastAsia" w:ascii="宋体" w:hAnsi="宋体" w:eastAsia="宋体" w:cs="宋体"/>
                <w:color w:val="auto"/>
                <w:kern w:val="0"/>
                <w:sz w:val="21"/>
                <w:szCs w:val="21"/>
                <w:highlight w:val="none"/>
              </w:rPr>
            </w:pPr>
          </w:p>
        </w:tc>
      </w:tr>
      <w:tr w14:paraId="694C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0D904760">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353" w:type="dxa"/>
            <w:noWrap w:val="0"/>
            <w:vAlign w:val="center"/>
          </w:tcPr>
          <w:p w14:paraId="7AA58C80">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w:t>
            </w:r>
          </w:p>
        </w:tc>
        <w:tc>
          <w:tcPr>
            <w:tcW w:w="3209" w:type="dxa"/>
            <w:noWrap w:val="0"/>
            <w:vAlign w:val="center"/>
          </w:tcPr>
          <w:p w14:paraId="7DE6DF06">
            <w:pPr>
              <w:jc w:val="center"/>
              <w:rPr>
                <w:rFonts w:hint="eastAsia" w:ascii="宋体" w:hAnsi="宋体" w:eastAsia="宋体" w:cs="宋体"/>
                <w:color w:val="auto"/>
                <w:kern w:val="0"/>
                <w:sz w:val="21"/>
                <w:szCs w:val="21"/>
                <w:highlight w:val="none"/>
                <w:lang w:bidi="ar"/>
              </w:rPr>
            </w:pPr>
          </w:p>
        </w:tc>
        <w:tc>
          <w:tcPr>
            <w:tcW w:w="1142" w:type="dxa"/>
            <w:noWrap w:val="0"/>
            <w:vAlign w:val="center"/>
          </w:tcPr>
          <w:p w14:paraId="7C32444D">
            <w:pPr>
              <w:widowControl/>
              <w:jc w:val="center"/>
              <w:textAlignment w:val="center"/>
              <w:rPr>
                <w:rFonts w:hint="eastAsia" w:ascii="宋体" w:hAnsi="宋体" w:eastAsia="宋体" w:cs="宋体"/>
                <w:color w:val="auto"/>
                <w:kern w:val="0"/>
                <w:sz w:val="21"/>
                <w:szCs w:val="21"/>
                <w:highlight w:val="none"/>
              </w:rPr>
            </w:pPr>
          </w:p>
        </w:tc>
        <w:tc>
          <w:tcPr>
            <w:tcW w:w="1214" w:type="dxa"/>
            <w:noWrap w:val="0"/>
            <w:vAlign w:val="center"/>
          </w:tcPr>
          <w:p w14:paraId="4CAED666">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6BE97891">
            <w:pPr>
              <w:snapToGrid w:val="0"/>
              <w:jc w:val="center"/>
              <w:rPr>
                <w:rFonts w:hint="eastAsia" w:ascii="宋体" w:hAnsi="宋体" w:eastAsia="宋体" w:cs="宋体"/>
                <w:color w:val="auto"/>
                <w:kern w:val="0"/>
                <w:sz w:val="21"/>
                <w:szCs w:val="21"/>
                <w:highlight w:val="none"/>
              </w:rPr>
            </w:pPr>
          </w:p>
        </w:tc>
      </w:tr>
      <w:tr w14:paraId="79D3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39FD9C47">
            <w:pPr>
              <w:snapToGrid w:val="0"/>
              <w:jc w:val="center"/>
              <w:rPr>
                <w:rFonts w:hint="eastAsia" w:ascii="宋体" w:hAnsi="宋体" w:eastAsia="宋体" w:cs="宋体"/>
                <w:color w:val="auto"/>
                <w:kern w:val="0"/>
                <w:sz w:val="21"/>
                <w:szCs w:val="21"/>
                <w:highlight w:val="none"/>
                <w:lang w:val="en-US" w:eastAsia="zh-CN"/>
              </w:rPr>
            </w:pPr>
          </w:p>
        </w:tc>
        <w:tc>
          <w:tcPr>
            <w:tcW w:w="1353" w:type="dxa"/>
            <w:noWrap w:val="0"/>
            <w:vAlign w:val="center"/>
          </w:tcPr>
          <w:p w14:paraId="639C737C">
            <w:pPr>
              <w:widowControl/>
              <w:jc w:val="both"/>
              <w:textAlignment w:val="center"/>
              <w:rPr>
                <w:rFonts w:hint="eastAsia" w:ascii="宋体" w:hAnsi="宋体" w:eastAsia="宋体" w:cs="宋体"/>
                <w:b/>
                <w:color w:val="auto"/>
                <w:sz w:val="21"/>
                <w:szCs w:val="21"/>
                <w:highlight w:val="none"/>
                <w:lang w:val="en-US" w:eastAsia="zh-CN"/>
              </w:rPr>
            </w:pPr>
          </w:p>
        </w:tc>
        <w:tc>
          <w:tcPr>
            <w:tcW w:w="3209" w:type="dxa"/>
            <w:noWrap w:val="0"/>
            <w:vAlign w:val="center"/>
          </w:tcPr>
          <w:p w14:paraId="1A8D29DF">
            <w:pPr>
              <w:jc w:val="center"/>
              <w:rPr>
                <w:rFonts w:hint="eastAsia" w:ascii="宋体" w:hAnsi="宋体" w:eastAsia="宋体" w:cs="宋体"/>
                <w:color w:val="auto"/>
                <w:kern w:val="0"/>
                <w:sz w:val="21"/>
                <w:szCs w:val="21"/>
                <w:highlight w:val="none"/>
                <w:lang w:bidi="ar"/>
              </w:rPr>
            </w:pPr>
          </w:p>
        </w:tc>
        <w:tc>
          <w:tcPr>
            <w:tcW w:w="1142" w:type="dxa"/>
            <w:noWrap w:val="0"/>
            <w:vAlign w:val="center"/>
          </w:tcPr>
          <w:p w14:paraId="4B90D2A8">
            <w:pPr>
              <w:widowControl/>
              <w:jc w:val="center"/>
              <w:textAlignment w:val="center"/>
              <w:rPr>
                <w:rFonts w:hint="eastAsia" w:ascii="宋体" w:hAnsi="宋体" w:eastAsia="宋体" w:cs="宋体"/>
                <w:color w:val="auto"/>
                <w:kern w:val="0"/>
                <w:sz w:val="21"/>
                <w:szCs w:val="21"/>
                <w:highlight w:val="none"/>
              </w:rPr>
            </w:pPr>
          </w:p>
        </w:tc>
        <w:tc>
          <w:tcPr>
            <w:tcW w:w="1214" w:type="dxa"/>
            <w:noWrap w:val="0"/>
            <w:vAlign w:val="center"/>
          </w:tcPr>
          <w:p w14:paraId="1D6577B9">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3B6A004D">
            <w:pPr>
              <w:snapToGrid w:val="0"/>
              <w:jc w:val="center"/>
              <w:rPr>
                <w:rFonts w:hint="eastAsia" w:ascii="宋体" w:hAnsi="宋体" w:eastAsia="宋体" w:cs="宋体"/>
                <w:color w:val="auto"/>
                <w:kern w:val="0"/>
                <w:sz w:val="21"/>
                <w:szCs w:val="21"/>
                <w:highlight w:val="none"/>
              </w:rPr>
            </w:pPr>
          </w:p>
        </w:tc>
      </w:tr>
      <w:tr w14:paraId="67FF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8" w:type="dxa"/>
            <w:gridSpan w:val="5"/>
            <w:noWrap w:val="0"/>
            <w:vAlign w:val="center"/>
          </w:tcPr>
          <w:p w14:paraId="2A6E7E27">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响应报价：合计（元）</w:t>
            </w:r>
          </w:p>
        </w:tc>
        <w:tc>
          <w:tcPr>
            <w:tcW w:w="1254" w:type="dxa"/>
            <w:noWrap w:val="0"/>
            <w:vAlign w:val="center"/>
          </w:tcPr>
          <w:p w14:paraId="4DAF222F">
            <w:pPr>
              <w:snapToGrid w:val="0"/>
              <w:jc w:val="center"/>
              <w:rPr>
                <w:rFonts w:hint="eastAsia" w:ascii="宋体" w:hAnsi="宋体" w:eastAsia="宋体" w:cs="宋体"/>
                <w:color w:val="auto"/>
                <w:kern w:val="0"/>
                <w:sz w:val="21"/>
                <w:szCs w:val="21"/>
                <w:highlight w:val="none"/>
              </w:rPr>
            </w:pPr>
          </w:p>
        </w:tc>
      </w:tr>
    </w:tbl>
    <w:p w14:paraId="2EF8A82F">
      <w:pPr>
        <w:rPr>
          <w:rFonts w:hint="eastAsia" w:asciiTheme="minorEastAsia" w:hAnsiTheme="minorEastAsia" w:eastAsiaTheme="minorEastAsia" w:cstheme="minorEastAsia"/>
          <w:bCs/>
          <w:sz w:val="28"/>
          <w:highlight w:val="none"/>
        </w:rPr>
      </w:pPr>
    </w:p>
    <w:p w14:paraId="278082D3">
      <w:pPr>
        <w:wordWrap w:val="0"/>
        <w:spacing w:line="408" w:lineRule="auto"/>
        <w:ind w:firstLine="420" w:firstLineChars="200"/>
        <w:rPr>
          <w:rFonts w:hint="eastAsia" w:ascii="宋体" w:hAnsi="宋体" w:eastAsia="宋体" w:cs="宋体"/>
          <w:b/>
          <w:bCs/>
          <w:sz w:val="21"/>
          <w:szCs w:val="18"/>
          <w:highlight w:val="none"/>
          <w:lang w:val="zh-CN"/>
        </w:rPr>
      </w:pPr>
      <w:r>
        <w:rPr>
          <w:rFonts w:hint="eastAsia" w:ascii="宋体" w:hAnsi="宋体" w:eastAsia="宋体" w:cs="宋体"/>
          <w:sz w:val="21"/>
          <w:szCs w:val="21"/>
          <w:highlight w:val="none"/>
        </w:rPr>
        <w:t>注：本项目为全费用综合单价报价。上述清单中材料中转及搬运费（含材料运输）、垃圾清运费（含处理费）、保洁费及环保检测费未单独列项，供应商需考虑进综合单价中。全费用综合单价包含但不限于完成采购文件、图纸及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p>
    <w:p w14:paraId="72351FF4">
      <w:pPr>
        <w:wordWrap w:val="0"/>
        <w:spacing w:line="408" w:lineRule="auto"/>
        <w:ind w:firstLine="560" w:firstLineChars="200"/>
        <w:jc w:val="center"/>
        <w:rPr>
          <w:rFonts w:hint="eastAsia" w:asciiTheme="minorEastAsia" w:hAnsiTheme="minorEastAsia" w:eastAsiaTheme="minorEastAsia" w:cstheme="minorEastAsia"/>
          <w:bCs/>
          <w:sz w:val="28"/>
          <w:highlight w:val="none"/>
        </w:rPr>
      </w:pPr>
      <w:r>
        <w:rPr>
          <w:rFonts w:hint="eastAsia" w:asciiTheme="minorEastAsia" w:hAnsiTheme="minorEastAsia" w:eastAsiaTheme="minorEastAsia" w:cstheme="minorEastAsia"/>
          <w:bCs/>
          <w:sz w:val="28"/>
          <w:highlight w:val="none"/>
        </w:rPr>
        <w:br w:type="page"/>
      </w:r>
      <w:r>
        <w:rPr>
          <w:rFonts w:hint="eastAsia" w:asciiTheme="minorEastAsia" w:hAnsiTheme="minorEastAsia" w:eastAsiaTheme="minorEastAsia" w:cstheme="minorEastAsia"/>
          <w:b/>
          <w:sz w:val="28"/>
          <w:szCs w:val="32"/>
          <w:highlight w:val="none"/>
        </w:rPr>
        <w:t>六、涉及初步评审的证明材料</w:t>
      </w:r>
    </w:p>
    <w:p w14:paraId="5844AC70">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6.1营业执照</w:t>
      </w:r>
    </w:p>
    <w:p w14:paraId="10A1A52B">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6.2企业资质</w:t>
      </w:r>
    </w:p>
    <w:p w14:paraId="4A325FB2">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6.3安全生产许可证</w:t>
      </w:r>
    </w:p>
    <w:p w14:paraId="5039407B">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6.4项目经理</w:t>
      </w:r>
    </w:p>
    <w:p w14:paraId="131805BC">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（1）注册建造师资格</w:t>
      </w:r>
    </w:p>
    <w:p w14:paraId="50600AD9">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（2）安全生产考核合格证（B类）</w:t>
      </w:r>
    </w:p>
    <w:p w14:paraId="429944B0">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6.5其他涉及初步评审的证明材料</w:t>
      </w:r>
    </w:p>
    <w:p w14:paraId="228299B0">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Cs w:val="21"/>
          <w:highlight w:val="none"/>
        </w:rPr>
        <w:br w:type="page"/>
      </w:r>
      <w:r>
        <w:rPr>
          <w:rFonts w:hint="eastAsia" w:asciiTheme="minorEastAsia" w:hAnsiTheme="minorEastAsia" w:eastAsiaTheme="minorEastAsia" w:cstheme="minorEastAsia"/>
          <w:sz w:val="28"/>
          <w:highlight w:val="none"/>
        </w:rPr>
        <w:t>七、书面承诺函</w:t>
      </w:r>
    </w:p>
    <w:p w14:paraId="4BA21BB9">
      <w:pPr>
        <w:pStyle w:val="3"/>
        <w:tabs>
          <w:tab w:val="left" w:pos="2755"/>
        </w:tabs>
        <w:wordWrap w:val="0"/>
        <w:spacing w:before="120"/>
        <w:ind w:left="113" w:right="17"/>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致：</w:t>
      </w:r>
      <w:r>
        <w:rPr>
          <w:rFonts w:hint="eastAsia" w:asciiTheme="minorEastAsia" w:hAnsiTheme="minorEastAsia" w:eastAsiaTheme="minorEastAsia" w:cstheme="minorEastAsia"/>
          <w:szCs w:val="21"/>
          <w:highlight w:val="none"/>
          <w:u w:val="single"/>
        </w:rPr>
        <w:t>合肥综合性科学中心环境研究院</w:t>
      </w:r>
    </w:p>
    <w:p w14:paraId="118FA8D1">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就贵方</w:t>
      </w:r>
      <w:r>
        <w:rPr>
          <w:rFonts w:hint="eastAsia" w:asciiTheme="minorEastAsia" w:hAnsiTheme="minorEastAsia" w:eastAsiaTheme="minorEastAsia" w:cstheme="minorEastAsia"/>
          <w:szCs w:val="21"/>
          <w:highlight w:val="none"/>
          <w:u w:val="single"/>
          <w:lang w:eastAsia="zh-CN"/>
        </w:rPr>
        <w:t>合肥综合性科学中心环境研究院超光谱团队实验室科研基础设施采购及安装（二次）</w:t>
      </w:r>
      <w:r>
        <w:rPr>
          <w:rFonts w:hint="eastAsia" w:asciiTheme="minorEastAsia" w:hAnsiTheme="minorEastAsia" w:eastAsiaTheme="minorEastAsia" w:cstheme="minorEastAsia"/>
          <w:szCs w:val="21"/>
          <w:highlight w:val="none"/>
        </w:rPr>
        <w:t>磋商文件，做出以下承诺：</w:t>
      </w:r>
    </w:p>
    <w:p w14:paraId="0EF3F010">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1、我方已明确本项目采用总价合同，我方的报价，在合同执行过程中保持不变，不以任何理由向采购人要求增加费用。</w:t>
      </w:r>
    </w:p>
    <w:p w14:paraId="7FBF5DF6">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2、我方承诺满足《政府采购法》第二十二条各项规定。</w:t>
      </w:r>
    </w:p>
    <w:p w14:paraId="0E8B0FF3">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3、我方无“单位负责人为同一人或者存在直接控股、管理关系的不同供应商，不得参加同一合同项下的采购活动”情形；</w:t>
      </w:r>
    </w:p>
    <w:p w14:paraId="7047290F">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4、我方无“为本项目提供整体设计、规范编制或者项目管理、监理、检测等服务的供应商，不得再参加该采购项目的其他采购活动”情形。</w:t>
      </w:r>
    </w:p>
    <w:p w14:paraId="1750DC46">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5、我方完全具备履行本项目标的能力（含技术、财务等各方面）。</w:t>
      </w:r>
    </w:p>
    <w:p w14:paraId="575D6232">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6、我方承诺：拟派项目</w:t>
      </w:r>
      <w:r>
        <w:rPr>
          <w:rFonts w:hint="eastAsia" w:asciiTheme="minorEastAsia" w:hAnsiTheme="minorEastAsia" w:eastAsiaTheme="minorEastAsia" w:cstheme="minorEastAsia"/>
          <w:highlight w:val="none"/>
        </w:rPr>
        <w:t>经理目前未在其他项目上任职或虽在其他项目上任职但本项目成交后能够从该项目撤离</w:t>
      </w:r>
    </w:p>
    <w:p w14:paraId="40963BFF">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若上述承诺任何一条不能兑现，采购人有权取消我方成交资格。</w:t>
      </w:r>
    </w:p>
    <w:p w14:paraId="17115929">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特此承诺</w:t>
      </w:r>
    </w:p>
    <w:p w14:paraId="10B5C52E">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如未能实现上述承诺，所造成的一切后果皆由我公司承担。</w:t>
      </w:r>
    </w:p>
    <w:p w14:paraId="61B8A03C">
      <w:pPr>
        <w:pStyle w:val="3"/>
        <w:tabs>
          <w:tab w:val="left" w:pos="2035"/>
          <w:tab w:val="left" w:pos="2875"/>
          <w:tab w:val="left" w:pos="6835"/>
        </w:tabs>
        <w:wordWrap w:val="0"/>
        <w:spacing w:before="159"/>
        <w:ind w:left="115" w:right="16"/>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u w:val="single"/>
        </w:rPr>
        <w:t>名称</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u w:val="single"/>
        </w:rPr>
        <w:t>（盖章）</w:t>
      </w:r>
      <w:r>
        <w:rPr>
          <w:rFonts w:hint="eastAsia" w:asciiTheme="minorEastAsia" w:hAnsiTheme="minorEastAsia" w:eastAsiaTheme="minorEastAsia" w:cstheme="minorEastAsia"/>
          <w:szCs w:val="21"/>
          <w:highlight w:val="none"/>
          <w:u w:val="single"/>
        </w:rPr>
        <w:tab/>
      </w:r>
    </w:p>
    <w:p w14:paraId="54EB6245">
      <w:pPr>
        <w:pStyle w:val="3"/>
        <w:wordWrap w:val="0"/>
        <w:rPr>
          <w:rFonts w:hint="eastAsia" w:asciiTheme="minorEastAsia" w:hAnsiTheme="minorEastAsia" w:eastAsiaTheme="minorEastAsia" w:cstheme="minorEastAsia"/>
          <w:szCs w:val="21"/>
          <w:highlight w:val="none"/>
        </w:rPr>
      </w:pPr>
    </w:p>
    <w:p w14:paraId="039B1DA6">
      <w:pPr>
        <w:pStyle w:val="3"/>
        <w:tabs>
          <w:tab w:val="left" w:pos="4080"/>
          <w:tab w:val="left" w:pos="5635"/>
        </w:tabs>
        <w:wordWrap w:val="0"/>
        <w:spacing w:before="26"/>
        <w:ind w:left="115" w:right="16"/>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法定代表人或其委托代理人：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u w:val="single"/>
        </w:rPr>
        <w:t xml:space="preserve">（签字或盖章）       </w:t>
      </w:r>
      <w:r>
        <w:rPr>
          <w:rFonts w:hint="eastAsia" w:asciiTheme="minorEastAsia" w:hAnsiTheme="minorEastAsia" w:eastAsiaTheme="minorEastAsia" w:cstheme="minorEastAsia"/>
          <w:szCs w:val="21"/>
          <w:highlight w:val="none"/>
          <w:u w:val="single"/>
        </w:rPr>
        <w:tab/>
      </w:r>
    </w:p>
    <w:p w14:paraId="21008D9A">
      <w:pPr>
        <w:pStyle w:val="3"/>
        <w:wordWrap w:val="0"/>
        <w:spacing w:before="7"/>
        <w:rPr>
          <w:rFonts w:hint="eastAsia" w:asciiTheme="minorEastAsia" w:hAnsiTheme="minorEastAsia" w:eastAsiaTheme="minorEastAsia" w:cstheme="minorEastAsia"/>
          <w:szCs w:val="21"/>
          <w:highlight w:val="none"/>
        </w:rPr>
      </w:pPr>
    </w:p>
    <w:p w14:paraId="3A1C4283">
      <w:pPr>
        <w:pStyle w:val="3"/>
        <w:tabs>
          <w:tab w:val="left" w:pos="1435"/>
          <w:tab w:val="left" w:pos="2515"/>
          <w:tab w:val="left" w:pos="3120"/>
        </w:tabs>
        <w:wordWrap w:val="0"/>
        <w:spacing w:before="26"/>
        <w:ind w:left="115" w:right="16"/>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日期：</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rPr>
        <w:t>日</w:t>
      </w:r>
    </w:p>
    <w:p w14:paraId="3D7814D1">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Cs w:val="21"/>
          <w:highlight w:val="none"/>
        </w:rPr>
        <w:br w:type="page"/>
      </w:r>
      <w:bookmarkStart w:id="65" w:name="_Toc460227113"/>
      <w:bookmarkStart w:id="66" w:name="_Toc460660228"/>
      <w:bookmarkStart w:id="67" w:name="_Toc390411626"/>
      <w:bookmarkStart w:id="68" w:name="_Toc421917006"/>
      <w:r>
        <w:rPr>
          <w:rFonts w:hint="eastAsia" w:asciiTheme="minorEastAsia" w:hAnsiTheme="minorEastAsia" w:eastAsiaTheme="minorEastAsia" w:cstheme="minorEastAsia"/>
          <w:sz w:val="28"/>
          <w:highlight w:val="none"/>
        </w:rPr>
        <w:t>八、项目经理承诺</w:t>
      </w:r>
      <w:bookmarkEnd w:id="65"/>
      <w:bookmarkEnd w:id="66"/>
      <w:bookmarkEnd w:id="67"/>
      <w:bookmarkEnd w:id="68"/>
    </w:p>
    <w:p w14:paraId="045D7750">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 xml:space="preserve">致：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szCs w:val="21"/>
          <w:highlight w:val="none"/>
          <w:u w:val="single"/>
        </w:rPr>
        <w:t>合肥综合性科学中心环境研究院</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(采购人名称)</w:t>
      </w:r>
    </w:p>
    <w:p w14:paraId="2BA2581F">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本人作为拟委任的项目经理，现郑重承诺如下：</w:t>
      </w:r>
    </w:p>
    <w:p w14:paraId="24EE70FC">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一、响应文件中提供的项目经理业绩已经本人核实，工程实施过程中项目经理确为本人，合同（或竣工相关资料证明）履约过程中涉及的本人签字均为该工程实施时段所签，真实无误，不存在虚假和挂靠现象，也不存在为响应而造假的行为。</w:t>
      </w:r>
    </w:p>
    <w:p w14:paraId="44C07A09">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二、目前无在岗项目或虽在其他项目上担任项目经理岗位，但承诺在本项目成交后合同签订前能够从其他项目变更至本项目并全面履约。</w:t>
      </w:r>
    </w:p>
    <w:p w14:paraId="0DD4BDBD">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三、以上承诺如果发现虚假现象，本人愿意承担相应法律责任，并随时无条件配合贵方调查取证。</w:t>
      </w:r>
    </w:p>
    <w:p w14:paraId="232205E3">
      <w:pPr>
        <w:spacing w:line="360" w:lineRule="auto"/>
        <w:ind w:left="359" w:leftChars="171" w:firstLine="630" w:firstLineChars="300"/>
        <w:rPr>
          <w:rFonts w:hint="eastAsia" w:asciiTheme="minorEastAsia" w:hAnsiTheme="minorEastAsia" w:eastAsiaTheme="minorEastAsia" w:cstheme="minorEastAsia"/>
          <w:bCs/>
          <w:szCs w:val="21"/>
          <w:highlight w:val="none"/>
        </w:rPr>
      </w:pPr>
    </w:p>
    <w:p w14:paraId="03E64A9D">
      <w:pPr>
        <w:spacing w:line="360" w:lineRule="auto"/>
        <w:ind w:left="359" w:leftChars="171" w:firstLine="630" w:firstLineChars="300"/>
        <w:rPr>
          <w:rFonts w:hint="eastAsia" w:asciiTheme="minorEastAsia" w:hAnsiTheme="minorEastAsia" w:eastAsiaTheme="minorEastAsia" w:cstheme="minorEastAsia"/>
          <w:bCs/>
          <w:szCs w:val="21"/>
          <w:highlight w:val="none"/>
        </w:rPr>
      </w:pPr>
    </w:p>
    <w:p w14:paraId="793DD960">
      <w:pPr>
        <w:spacing w:line="360" w:lineRule="auto"/>
        <w:ind w:left="359" w:leftChars="171" w:firstLine="630" w:firstLineChars="3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项目经理：</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（签字）</w:t>
      </w:r>
    </w:p>
    <w:p w14:paraId="308A066D">
      <w:pPr>
        <w:spacing w:line="360" w:lineRule="auto"/>
        <w:ind w:left="359" w:leftChars="171" w:firstLine="630" w:firstLineChars="3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身份证号：</w:t>
      </w:r>
      <w:r>
        <w:rPr>
          <w:rFonts w:hint="eastAsia" w:asciiTheme="minorEastAsia" w:hAnsiTheme="minorEastAsia" w:eastAsiaTheme="minorEastAsia" w:cstheme="minorEastAsia"/>
          <w:bCs/>
          <w:szCs w:val="21"/>
          <w:highlight w:val="none"/>
          <w:u w:val="single"/>
        </w:rPr>
        <w:t xml:space="preserve">                       </w:t>
      </w:r>
    </w:p>
    <w:p w14:paraId="080D9A6A">
      <w:pPr>
        <w:spacing w:line="360" w:lineRule="auto"/>
        <w:ind w:left="359" w:leftChars="171" w:firstLine="630" w:firstLineChars="3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日期</w:t>
      </w:r>
      <w:r>
        <w:rPr>
          <w:rFonts w:hint="default" w:ascii="Times New Roman" w:hAnsi="Times New Roman" w:cs="Times New Roman" w:eastAsiaTheme="minorEastAsia"/>
          <w:bCs/>
          <w:szCs w:val="21"/>
          <w:highlight w:val="none"/>
        </w:rPr>
        <w:t>：_____年____月____日</w:t>
      </w:r>
    </w:p>
    <w:p w14:paraId="41888C8C">
      <w:pPr>
        <w:spacing w:line="360" w:lineRule="auto"/>
        <w:ind w:firstLine="420" w:firstLineChars="200"/>
        <w:rPr>
          <w:rFonts w:hint="eastAsia" w:asciiTheme="minorEastAsia" w:hAnsiTheme="minorEastAsia" w:eastAsiaTheme="minorEastAsia" w:cstheme="minorEastAsia"/>
          <w:bCs/>
          <w:szCs w:val="21"/>
          <w:highlight w:val="none"/>
        </w:rPr>
      </w:pPr>
    </w:p>
    <w:p w14:paraId="01B26933">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附：项目经理身份证扫描件</w:t>
      </w:r>
    </w:p>
    <w:p w14:paraId="322B3C39">
      <w:pPr>
        <w:pStyle w:val="3"/>
        <w:tabs>
          <w:tab w:val="left" w:pos="1435"/>
          <w:tab w:val="left" w:pos="2515"/>
          <w:tab w:val="left" w:pos="3120"/>
        </w:tabs>
        <w:wordWrap w:val="0"/>
        <w:spacing w:before="26"/>
        <w:ind w:left="115" w:right="16"/>
        <w:rPr>
          <w:rFonts w:hint="eastAsia" w:asciiTheme="minorEastAsia" w:hAnsiTheme="minorEastAsia" w:eastAsiaTheme="minorEastAsia" w:cstheme="minorEastAsia"/>
          <w:szCs w:val="21"/>
          <w:highlight w:val="none"/>
        </w:rPr>
      </w:pPr>
    </w:p>
    <w:p w14:paraId="37022F7B">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Cs w:val="21"/>
          <w:highlight w:val="none"/>
        </w:rPr>
        <w:br w:type="page"/>
      </w:r>
      <w:r>
        <w:rPr>
          <w:rFonts w:hint="eastAsia" w:asciiTheme="minorEastAsia" w:hAnsiTheme="minorEastAsia" w:eastAsiaTheme="minorEastAsia" w:cstheme="minorEastAsia"/>
          <w:sz w:val="28"/>
          <w:highlight w:val="none"/>
        </w:rPr>
        <w:t>九、涉及详细评审的证明资料</w:t>
      </w:r>
    </w:p>
    <w:p w14:paraId="7BF26019">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十、业绩承诺函</w:t>
      </w:r>
    </w:p>
    <w:p w14:paraId="15CBE923">
      <w:pPr>
        <w:adjustRightInd w:val="0"/>
        <w:spacing w:line="360" w:lineRule="auto"/>
        <w:rPr>
          <w:rFonts w:hint="eastAsia" w:asciiTheme="minorEastAsia" w:hAnsiTheme="minorEastAsia" w:eastAsiaTheme="minorEastAsia" w:cstheme="minorEastAsia"/>
          <w:b/>
          <w:kern w:val="0"/>
          <w:highlight w:val="none"/>
          <w:u w:val="single"/>
        </w:rPr>
      </w:pPr>
      <w:r>
        <w:rPr>
          <w:rFonts w:hint="eastAsia" w:asciiTheme="minorEastAsia" w:hAnsiTheme="minorEastAsia" w:eastAsiaTheme="minorEastAsia" w:cstheme="minorEastAsia"/>
          <w:kern w:val="0"/>
          <w:highlight w:val="none"/>
        </w:rPr>
        <w:t>致：</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b/>
          <w:kern w:val="0"/>
          <w:highlight w:val="none"/>
          <w:u w:val="single"/>
        </w:rPr>
        <w:t xml:space="preserve">合肥综合性科学中心环境研究院  </w:t>
      </w:r>
    </w:p>
    <w:p w14:paraId="551FB6F7">
      <w:pPr>
        <w:spacing w:line="360" w:lineRule="auto"/>
        <w:ind w:firstLine="43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承诺：响应文件中所提供的业绩均真实有效，若有质疑，我方承诺会将2个工作日内可就以下业绩信息提供(合同、对应的发票、验收报告或用户评价意见)原件供贵单位核对。若被发现存在任何虚假、隐瞒情况，我公司承担由此产生的一切后果。同时我方承诺贵方可就我方业绩进行公示。</w:t>
      </w:r>
    </w:p>
    <w:p w14:paraId="36C9048B">
      <w:pPr>
        <w:spacing w:line="360" w:lineRule="auto"/>
        <w:ind w:firstLine="3700" w:firstLineChars="1762"/>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（盖单位章）</w:t>
      </w:r>
    </w:p>
    <w:p w14:paraId="2F413F34">
      <w:pPr>
        <w:tabs>
          <w:tab w:val="left" w:pos="630"/>
        </w:tabs>
        <w:spacing w:line="360" w:lineRule="auto"/>
        <w:ind w:firstLine="3700" w:firstLineChars="176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p>
    <w:p w14:paraId="20C09700">
      <w:pPr>
        <w:wordWrap w:val="0"/>
        <w:jc w:val="center"/>
        <w:rPr>
          <w:rFonts w:hint="eastAsia" w:asciiTheme="minorEastAsia" w:hAnsiTheme="minorEastAsia" w:eastAsiaTheme="minorEastAsia" w:cstheme="minorEastAsia"/>
          <w:sz w:val="28"/>
          <w:highlight w:val="none"/>
        </w:rPr>
      </w:pPr>
    </w:p>
    <w:p w14:paraId="1F98E91D">
      <w:pPr>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业绩汇总表</w:t>
      </w:r>
    </w:p>
    <w:tbl>
      <w:tblPr>
        <w:tblStyle w:val="32"/>
        <w:tblW w:w="49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39"/>
        <w:gridCol w:w="1683"/>
        <w:gridCol w:w="1140"/>
        <w:gridCol w:w="1702"/>
        <w:gridCol w:w="1402"/>
        <w:gridCol w:w="848"/>
      </w:tblGrid>
      <w:tr w14:paraId="58EE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52D878F5">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339" w:type="dxa"/>
            <w:vAlign w:val="center"/>
          </w:tcPr>
          <w:p w14:paraId="4BDAFB0B">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项目名称</w:t>
            </w:r>
          </w:p>
        </w:tc>
        <w:tc>
          <w:tcPr>
            <w:tcW w:w="1686" w:type="dxa"/>
            <w:vAlign w:val="center"/>
          </w:tcPr>
          <w:p w14:paraId="221E1AF6">
            <w:pPr>
              <w:widowControl/>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合同主要内容</w:t>
            </w:r>
          </w:p>
        </w:tc>
        <w:tc>
          <w:tcPr>
            <w:tcW w:w="1139" w:type="dxa"/>
            <w:vAlign w:val="center"/>
          </w:tcPr>
          <w:p w14:paraId="7DA3F2C3">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签约合同价金额</w:t>
            </w:r>
          </w:p>
        </w:tc>
        <w:tc>
          <w:tcPr>
            <w:tcW w:w="1704" w:type="dxa"/>
            <w:vAlign w:val="center"/>
          </w:tcPr>
          <w:p w14:paraId="258947D6">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业主单位</w:t>
            </w:r>
          </w:p>
          <w:p w14:paraId="50B15327">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及联系电话</w:t>
            </w:r>
          </w:p>
        </w:tc>
        <w:tc>
          <w:tcPr>
            <w:tcW w:w="1403" w:type="dxa"/>
            <w:vAlign w:val="center"/>
          </w:tcPr>
          <w:p w14:paraId="2E887355">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合同签订时间</w:t>
            </w:r>
          </w:p>
        </w:tc>
        <w:tc>
          <w:tcPr>
            <w:tcW w:w="846" w:type="dxa"/>
            <w:vAlign w:val="center"/>
          </w:tcPr>
          <w:p w14:paraId="20B9C402">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备注</w:t>
            </w:r>
          </w:p>
        </w:tc>
      </w:tr>
      <w:tr w14:paraId="49D4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A1BE608">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339" w:type="dxa"/>
            <w:vAlign w:val="center"/>
          </w:tcPr>
          <w:p w14:paraId="10828382">
            <w:pPr>
              <w:wordWrap w:val="0"/>
              <w:jc w:val="center"/>
              <w:rPr>
                <w:rFonts w:hint="eastAsia" w:asciiTheme="minorEastAsia" w:hAnsiTheme="minorEastAsia" w:eastAsiaTheme="minorEastAsia" w:cstheme="minorEastAsia"/>
                <w:highlight w:val="none"/>
              </w:rPr>
            </w:pPr>
          </w:p>
        </w:tc>
        <w:tc>
          <w:tcPr>
            <w:tcW w:w="1686" w:type="dxa"/>
            <w:vAlign w:val="center"/>
          </w:tcPr>
          <w:p w14:paraId="27A2D86B">
            <w:pPr>
              <w:wordWrap w:val="0"/>
              <w:jc w:val="center"/>
              <w:rPr>
                <w:rFonts w:hint="eastAsia" w:asciiTheme="minorEastAsia" w:hAnsiTheme="minorEastAsia" w:eastAsiaTheme="minorEastAsia" w:cstheme="minorEastAsia"/>
                <w:highlight w:val="none"/>
              </w:rPr>
            </w:pPr>
          </w:p>
        </w:tc>
        <w:tc>
          <w:tcPr>
            <w:tcW w:w="1139" w:type="dxa"/>
            <w:vAlign w:val="center"/>
          </w:tcPr>
          <w:p w14:paraId="3D241E2E">
            <w:pPr>
              <w:wordWrap w:val="0"/>
              <w:jc w:val="center"/>
              <w:rPr>
                <w:rFonts w:hint="eastAsia" w:asciiTheme="minorEastAsia" w:hAnsiTheme="minorEastAsia" w:eastAsiaTheme="minorEastAsia" w:cstheme="minorEastAsia"/>
                <w:highlight w:val="none"/>
              </w:rPr>
            </w:pPr>
          </w:p>
        </w:tc>
        <w:tc>
          <w:tcPr>
            <w:tcW w:w="1704" w:type="dxa"/>
            <w:vAlign w:val="center"/>
          </w:tcPr>
          <w:p w14:paraId="37F8B496">
            <w:pPr>
              <w:wordWrap w:val="0"/>
              <w:jc w:val="center"/>
              <w:rPr>
                <w:rFonts w:hint="eastAsia" w:asciiTheme="minorEastAsia" w:hAnsiTheme="minorEastAsia" w:eastAsiaTheme="minorEastAsia" w:cstheme="minorEastAsia"/>
                <w:highlight w:val="none"/>
              </w:rPr>
            </w:pPr>
          </w:p>
        </w:tc>
        <w:tc>
          <w:tcPr>
            <w:tcW w:w="1403" w:type="dxa"/>
            <w:vAlign w:val="center"/>
          </w:tcPr>
          <w:p w14:paraId="2CD50F4E">
            <w:pPr>
              <w:wordWrap w:val="0"/>
              <w:jc w:val="center"/>
              <w:rPr>
                <w:rFonts w:hint="eastAsia" w:asciiTheme="minorEastAsia" w:hAnsiTheme="minorEastAsia" w:eastAsiaTheme="minorEastAsia" w:cstheme="minorEastAsia"/>
                <w:highlight w:val="none"/>
              </w:rPr>
            </w:pPr>
          </w:p>
        </w:tc>
        <w:tc>
          <w:tcPr>
            <w:tcW w:w="846" w:type="dxa"/>
            <w:vAlign w:val="center"/>
          </w:tcPr>
          <w:p w14:paraId="5D0031E5">
            <w:pPr>
              <w:wordWrap w:val="0"/>
              <w:jc w:val="center"/>
              <w:rPr>
                <w:rFonts w:hint="eastAsia" w:asciiTheme="minorEastAsia" w:hAnsiTheme="minorEastAsia" w:eastAsiaTheme="minorEastAsia" w:cstheme="minorEastAsia"/>
                <w:highlight w:val="none"/>
              </w:rPr>
            </w:pPr>
          </w:p>
        </w:tc>
      </w:tr>
      <w:tr w14:paraId="32C4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477ACBF">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339" w:type="dxa"/>
            <w:vAlign w:val="center"/>
          </w:tcPr>
          <w:p w14:paraId="7E2E035A">
            <w:pPr>
              <w:wordWrap w:val="0"/>
              <w:jc w:val="center"/>
              <w:rPr>
                <w:rFonts w:hint="eastAsia" w:asciiTheme="minorEastAsia" w:hAnsiTheme="minorEastAsia" w:eastAsiaTheme="minorEastAsia" w:cstheme="minorEastAsia"/>
                <w:highlight w:val="none"/>
              </w:rPr>
            </w:pPr>
          </w:p>
        </w:tc>
        <w:tc>
          <w:tcPr>
            <w:tcW w:w="1686" w:type="dxa"/>
            <w:vAlign w:val="center"/>
          </w:tcPr>
          <w:p w14:paraId="024B0A24">
            <w:pPr>
              <w:wordWrap w:val="0"/>
              <w:jc w:val="center"/>
              <w:rPr>
                <w:rFonts w:hint="eastAsia" w:asciiTheme="minorEastAsia" w:hAnsiTheme="minorEastAsia" w:eastAsiaTheme="minorEastAsia" w:cstheme="minorEastAsia"/>
                <w:highlight w:val="none"/>
              </w:rPr>
            </w:pPr>
          </w:p>
        </w:tc>
        <w:tc>
          <w:tcPr>
            <w:tcW w:w="1139" w:type="dxa"/>
            <w:vAlign w:val="center"/>
          </w:tcPr>
          <w:p w14:paraId="6932AD10">
            <w:pPr>
              <w:wordWrap w:val="0"/>
              <w:jc w:val="center"/>
              <w:rPr>
                <w:rFonts w:hint="eastAsia" w:asciiTheme="minorEastAsia" w:hAnsiTheme="minorEastAsia" w:eastAsiaTheme="minorEastAsia" w:cstheme="minorEastAsia"/>
                <w:highlight w:val="none"/>
              </w:rPr>
            </w:pPr>
          </w:p>
        </w:tc>
        <w:tc>
          <w:tcPr>
            <w:tcW w:w="1704" w:type="dxa"/>
            <w:vAlign w:val="center"/>
          </w:tcPr>
          <w:p w14:paraId="3E60E496">
            <w:pPr>
              <w:wordWrap w:val="0"/>
              <w:jc w:val="center"/>
              <w:rPr>
                <w:rFonts w:hint="eastAsia" w:asciiTheme="minorEastAsia" w:hAnsiTheme="minorEastAsia" w:eastAsiaTheme="minorEastAsia" w:cstheme="minorEastAsia"/>
                <w:highlight w:val="none"/>
              </w:rPr>
            </w:pPr>
          </w:p>
        </w:tc>
        <w:tc>
          <w:tcPr>
            <w:tcW w:w="1403" w:type="dxa"/>
            <w:vAlign w:val="center"/>
          </w:tcPr>
          <w:p w14:paraId="5C05D901">
            <w:pPr>
              <w:wordWrap w:val="0"/>
              <w:jc w:val="center"/>
              <w:rPr>
                <w:rFonts w:hint="eastAsia" w:asciiTheme="minorEastAsia" w:hAnsiTheme="minorEastAsia" w:eastAsiaTheme="minorEastAsia" w:cstheme="minorEastAsia"/>
                <w:highlight w:val="none"/>
              </w:rPr>
            </w:pPr>
          </w:p>
        </w:tc>
        <w:tc>
          <w:tcPr>
            <w:tcW w:w="846" w:type="dxa"/>
            <w:vAlign w:val="center"/>
          </w:tcPr>
          <w:p w14:paraId="1F9411ED">
            <w:pPr>
              <w:wordWrap w:val="0"/>
              <w:jc w:val="center"/>
              <w:rPr>
                <w:rFonts w:hint="eastAsia" w:asciiTheme="minorEastAsia" w:hAnsiTheme="minorEastAsia" w:eastAsiaTheme="minorEastAsia" w:cstheme="minorEastAsia"/>
                <w:highlight w:val="none"/>
              </w:rPr>
            </w:pPr>
          </w:p>
        </w:tc>
      </w:tr>
      <w:tr w14:paraId="62BB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174F426D">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339" w:type="dxa"/>
            <w:vAlign w:val="center"/>
          </w:tcPr>
          <w:p w14:paraId="7B613554">
            <w:pPr>
              <w:wordWrap w:val="0"/>
              <w:jc w:val="center"/>
              <w:rPr>
                <w:rFonts w:hint="eastAsia" w:asciiTheme="minorEastAsia" w:hAnsiTheme="minorEastAsia" w:eastAsiaTheme="minorEastAsia" w:cstheme="minorEastAsia"/>
                <w:highlight w:val="none"/>
              </w:rPr>
            </w:pPr>
          </w:p>
        </w:tc>
        <w:tc>
          <w:tcPr>
            <w:tcW w:w="1686" w:type="dxa"/>
            <w:vAlign w:val="center"/>
          </w:tcPr>
          <w:p w14:paraId="5BDD28CE">
            <w:pPr>
              <w:wordWrap w:val="0"/>
              <w:jc w:val="center"/>
              <w:rPr>
                <w:rFonts w:hint="eastAsia" w:asciiTheme="minorEastAsia" w:hAnsiTheme="minorEastAsia" w:eastAsiaTheme="minorEastAsia" w:cstheme="minorEastAsia"/>
                <w:highlight w:val="none"/>
              </w:rPr>
            </w:pPr>
          </w:p>
        </w:tc>
        <w:tc>
          <w:tcPr>
            <w:tcW w:w="1139" w:type="dxa"/>
            <w:vAlign w:val="center"/>
          </w:tcPr>
          <w:p w14:paraId="59233765">
            <w:pPr>
              <w:wordWrap w:val="0"/>
              <w:jc w:val="center"/>
              <w:rPr>
                <w:rFonts w:hint="eastAsia" w:asciiTheme="minorEastAsia" w:hAnsiTheme="minorEastAsia" w:eastAsiaTheme="minorEastAsia" w:cstheme="minorEastAsia"/>
                <w:highlight w:val="none"/>
              </w:rPr>
            </w:pPr>
          </w:p>
        </w:tc>
        <w:tc>
          <w:tcPr>
            <w:tcW w:w="1704" w:type="dxa"/>
            <w:vAlign w:val="center"/>
          </w:tcPr>
          <w:p w14:paraId="47209599">
            <w:pPr>
              <w:wordWrap w:val="0"/>
              <w:jc w:val="center"/>
              <w:rPr>
                <w:rFonts w:hint="eastAsia" w:asciiTheme="minorEastAsia" w:hAnsiTheme="minorEastAsia" w:eastAsiaTheme="minorEastAsia" w:cstheme="minorEastAsia"/>
                <w:highlight w:val="none"/>
              </w:rPr>
            </w:pPr>
          </w:p>
        </w:tc>
        <w:tc>
          <w:tcPr>
            <w:tcW w:w="1403" w:type="dxa"/>
            <w:vAlign w:val="center"/>
          </w:tcPr>
          <w:p w14:paraId="717A4D54">
            <w:pPr>
              <w:wordWrap w:val="0"/>
              <w:jc w:val="center"/>
              <w:rPr>
                <w:rFonts w:hint="eastAsia" w:asciiTheme="minorEastAsia" w:hAnsiTheme="minorEastAsia" w:eastAsiaTheme="minorEastAsia" w:cstheme="minorEastAsia"/>
                <w:highlight w:val="none"/>
              </w:rPr>
            </w:pPr>
          </w:p>
        </w:tc>
        <w:tc>
          <w:tcPr>
            <w:tcW w:w="846" w:type="dxa"/>
            <w:vAlign w:val="center"/>
          </w:tcPr>
          <w:p w14:paraId="23C8ED97">
            <w:pPr>
              <w:wordWrap w:val="0"/>
              <w:jc w:val="center"/>
              <w:rPr>
                <w:rFonts w:hint="eastAsia" w:asciiTheme="minorEastAsia" w:hAnsiTheme="minorEastAsia" w:eastAsiaTheme="minorEastAsia" w:cstheme="minorEastAsia"/>
                <w:highlight w:val="none"/>
              </w:rPr>
            </w:pPr>
          </w:p>
        </w:tc>
      </w:tr>
      <w:tr w14:paraId="0109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4E6813CD">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339" w:type="dxa"/>
            <w:vAlign w:val="center"/>
          </w:tcPr>
          <w:p w14:paraId="67BED936">
            <w:pPr>
              <w:wordWrap w:val="0"/>
              <w:jc w:val="center"/>
              <w:rPr>
                <w:rFonts w:hint="eastAsia" w:asciiTheme="minorEastAsia" w:hAnsiTheme="minorEastAsia" w:eastAsiaTheme="minorEastAsia" w:cstheme="minorEastAsia"/>
                <w:highlight w:val="none"/>
              </w:rPr>
            </w:pPr>
          </w:p>
        </w:tc>
        <w:tc>
          <w:tcPr>
            <w:tcW w:w="1686" w:type="dxa"/>
            <w:vAlign w:val="center"/>
          </w:tcPr>
          <w:p w14:paraId="0E15B7CF">
            <w:pPr>
              <w:wordWrap w:val="0"/>
              <w:jc w:val="center"/>
              <w:rPr>
                <w:rFonts w:hint="eastAsia" w:asciiTheme="minorEastAsia" w:hAnsiTheme="minorEastAsia" w:eastAsiaTheme="minorEastAsia" w:cstheme="minorEastAsia"/>
                <w:highlight w:val="none"/>
              </w:rPr>
            </w:pPr>
          </w:p>
        </w:tc>
        <w:tc>
          <w:tcPr>
            <w:tcW w:w="1139" w:type="dxa"/>
            <w:vAlign w:val="center"/>
          </w:tcPr>
          <w:p w14:paraId="195866ED">
            <w:pPr>
              <w:wordWrap w:val="0"/>
              <w:jc w:val="center"/>
              <w:rPr>
                <w:rFonts w:hint="eastAsia" w:asciiTheme="minorEastAsia" w:hAnsiTheme="minorEastAsia" w:eastAsiaTheme="minorEastAsia" w:cstheme="minorEastAsia"/>
                <w:highlight w:val="none"/>
              </w:rPr>
            </w:pPr>
          </w:p>
        </w:tc>
        <w:tc>
          <w:tcPr>
            <w:tcW w:w="1704" w:type="dxa"/>
            <w:vAlign w:val="center"/>
          </w:tcPr>
          <w:p w14:paraId="4977F979">
            <w:pPr>
              <w:wordWrap w:val="0"/>
              <w:jc w:val="center"/>
              <w:rPr>
                <w:rFonts w:hint="eastAsia" w:asciiTheme="minorEastAsia" w:hAnsiTheme="minorEastAsia" w:eastAsiaTheme="minorEastAsia" w:cstheme="minorEastAsia"/>
                <w:highlight w:val="none"/>
              </w:rPr>
            </w:pPr>
          </w:p>
        </w:tc>
        <w:tc>
          <w:tcPr>
            <w:tcW w:w="1403" w:type="dxa"/>
            <w:vAlign w:val="center"/>
          </w:tcPr>
          <w:p w14:paraId="6EC768C4">
            <w:pPr>
              <w:wordWrap w:val="0"/>
              <w:jc w:val="center"/>
              <w:rPr>
                <w:rFonts w:hint="eastAsia" w:asciiTheme="minorEastAsia" w:hAnsiTheme="minorEastAsia" w:eastAsiaTheme="minorEastAsia" w:cstheme="minorEastAsia"/>
                <w:highlight w:val="none"/>
              </w:rPr>
            </w:pPr>
          </w:p>
        </w:tc>
        <w:tc>
          <w:tcPr>
            <w:tcW w:w="846" w:type="dxa"/>
            <w:vAlign w:val="center"/>
          </w:tcPr>
          <w:p w14:paraId="1A32F280">
            <w:pPr>
              <w:wordWrap w:val="0"/>
              <w:jc w:val="center"/>
              <w:rPr>
                <w:rFonts w:hint="eastAsia" w:asciiTheme="minorEastAsia" w:hAnsiTheme="minorEastAsia" w:eastAsiaTheme="minorEastAsia" w:cstheme="minorEastAsia"/>
                <w:highlight w:val="none"/>
              </w:rPr>
            </w:pPr>
          </w:p>
        </w:tc>
      </w:tr>
      <w:tr w14:paraId="64AB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413F12F0">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339" w:type="dxa"/>
            <w:vAlign w:val="center"/>
          </w:tcPr>
          <w:p w14:paraId="089E2D68">
            <w:pPr>
              <w:wordWrap w:val="0"/>
              <w:jc w:val="center"/>
              <w:rPr>
                <w:rFonts w:hint="eastAsia" w:asciiTheme="minorEastAsia" w:hAnsiTheme="minorEastAsia" w:eastAsiaTheme="minorEastAsia" w:cstheme="minorEastAsia"/>
                <w:highlight w:val="none"/>
              </w:rPr>
            </w:pPr>
          </w:p>
        </w:tc>
        <w:tc>
          <w:tcPr>
            <w:tcW w:w="1686" w:type="dxa"/>
            <w:vAlign w:val="center"/>
          </w:tcPr>
          <w:p w14:paraId="64FA7E1B">
            <w:pPr>
              <w:wordWrap w:val="0"/>
              <w:jc w:val="center"/>
              <w:rPr>
                <w:rFonts w:hint="eastAsia" w:asciiTheme="minorEastAsia" w:hAnsiTheme="minorEastAsia" w:eastAsiaTheme="minorEastAsia" w:cstheme="minorEastAsia"/>
                <w:highlight w:val="none"/>
              </w:rPr>
            </w:pPr>
          </w:p>
        </w:tc>
        <w:tc>
          <w:tcPr>
            <w:tcW w:w="1139" w:type="dxa"/>
            <w:vAlign w:val="center"/>
          </w:tcPr>
          <w:p w14:paraId="0A7FF55D">
            <w:pPr>
              <w:wordWrap w:val="0"/>
              <w:jc w:val="center"/>
              <w:rPr>
                <w:rFonts w:hint="eastAsia" w:asciiTheme="minorEastAsia" w:hAnsiTheme="minorEastAsia" w:eastAsiaTheme="minorEastAsia" w:cstheme="minorEastAsia"/>
                <w:highlight w:val="none"/>
              </w:rPr>
            </w:pPr>
          </w:p>
        </w:tc>
        <w:tc>
          <w:tcPr>
            <w:tcW w:w="1704" w:type="dxa"/>
            <w:vAlign w:val="center"/>
          </w:tcPr>
          <w:p w14:paraId="4D82E7AE">
            <w:pPr>
              <w:wordWrap w:val="0"/>
              <w:jc w:val="center"/>
              <w:rPr>
                <w:rFonts w:hint="eastAsia" w:asciiTheme="minorEastAsia" w:hAnsiTheme="minorEastAsia" w:eastAsiaTheme="minorEastAsia" w:cstheme="minorEastAsia"/>
                <w:highlight w:val="none"/>
              </w:rPr>
            </w:pPr>
          </w:p>
        </w:tc>
        <w:tc>
          <w:tcPr>
            <w:tcW w:w="1403" w:type="dxa"/>
            <w:vAlign w:val="center"/>
          </w:tcPr>
          <w:p w14:paraId="051A3818">
            <w:pPr>
              <w:wordWrap w:val="0"/>
              <w:jc w:val="center"/>
              <w:rPr>
                <w:rFonts w:hint="eastAsia" w:asciiTheme="minorEastAsia" w:hAnsiTheme="minorEastAsia" w:eastAsiaTheme="minorEastAsia" w:cstheme="minorEastAsia"/>
                <w:highlight w:val="none"/>
              </w:rPr>
            </w:pPr>
          </w:p>
        </w:tc>
        <w:tc>
          <w:tcPr>
            <w:tcW w:w="846" w:type="dxa"/>
            <w:vAlign w:val="center"/>
          </w:tcPr>
          <w:p w14:paraId="2861F2DB">
            <w:pPr>
              <w:wordWrap w:val="0"/>
              <w:jc w:val="center"/>
              <w:rPr>
                <w:rFonts w:hint="eastAsia" w:asciiTheme="minorEastAsia" w:hAnsiTheme="minorEastAsia" w:eastAsiaTheme="minorEastAsia" w:cstheme="minorEastAsia"/>
                <w:highlight w:val="none"/>
              </w:rPr>
            </w:pPr>
          </w:p>
        </w:tc>
      </w:tr>
      <w:tr w14:paraId="4DDB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007AAEEB">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339" w:type="dxa"/>
            <w:vAlign w:val="center"/>
          </w:tcPr>
          <w:p w14:paraId="72BA1ACB">
            <w:pPr>
              <w:wordWrap w:val="0"/>
              <w:jc w:val="center"/>
              <w:rPr>
                <w:rFonts w:hint="eastAsia" w:asciiTheme="minorEastAsia" w:hAnsiTheme="minorEastAsia" w:eastAsiaTheme="minorEastAsia" w:cstheme="minorEastAsia"/>
                <w:highlight w:val="none"/>
              </w:rPr>
            </w:pPr>
          </w:p>
        </w:tc>
        <w:tc>
          <w:tcPr>
            <w:tcW w:w="1686" w:type="dxa"/>
            <w:vAlign w:val="center"/>
          </w:tcPr>
          <w:p w14:paraId="21D38D50">
            <w:pPr>
              <w:wordWrap w:val="0"/>
              <w:jc w:val="center"/>
              <w:rPr>
                <w:rFonts w:hint="eastAsia" w:asciiTheme="minorEastAsia" w:hAnsiTheme="minorEastAsia" w:eastAsiaTheme="minorEastAsia" w:cstheme="minorEastAsia"/>
                <w:highlight w:val="none"/>
              </w:rPr>
            </w:pPr>
          </w:p>
        </w:tc>
        <w:tc>
          <w:tcPr>
            <w:tcW w:w="1139" w:type="dxa"/>
            <w:vAlign w:val="center"/>
          </w:tcPr>
          <w:p w14:paraId="0A893D9B">
            <w:pPr>
              <w:wordWrap w:val="0"/>
              <w:jc w:val="center"/>
              <w:rPr>
                <w:rFonts w:hint="eastAsia" w:asciiTheme="minorEastAsia" w:hAnsiTheme="minorEastAsia" w:eastAsiaTheme="minorEastAsia" w:cstheme="minorEastAsia"/>
                <w:highlight w:val="none"/>
              </w:rPr>
            </w:pPr>
          </w:p>
        </w:tc>
        <w:tc>
          <w:tcPr>
            <w:tcW w:w="1704" w:type="dxa"/>
            <w:vAlign w:val="center"/>
          </w:tcPr>
          <w:p w14:paraId="5C944122">
            <w:pPr>
              <w:wordWrap w:val="0"/>
              <w:jc w:val="center"/>
              <w:rPr>
                <w:rFonts w:hint="eastAsia" w:asciiTheme="minorEastAsia" w:hAnsiTheme="minorEastAsia" w:eastAsiaTheme="minorEastAsia" w:cstheme="minorEastAsia"/>
                <w:highlight w:val="none"/>
              </w:rPr>
            </w:pPr>
          </w:p>
        </w:tc>
        <w:tc>
          <w:tcPr>
            <w:tcW w:w="1403" w:type="dxa"/>
            <w:vAlign w:val="center"/>
          </w:tcPr>
          <w:p w14:paraId="48B8484C">
            <w:pPr>
              <w:wordWrap w:val="0"/>
              <w:jc w:val="center"/>
              <w:rPr>
                <w:rFonts w:hint="eastAsia" w:asciiTheme="minorEastAsia" w:hAnsiTheme="minorEastAsia" w:eastAsiaTheme="minorEastAsia" w:cstheme="minorEastAsia"/>
                <w:highlight w:val="none"/>
              </w:rPr>
            </w:pPr>
          </w:p>
        </w:tc>
        <w:tc>
          <w:tcPr>
            <w:tcW w:w="846" w:type="dxa"/>
            <w:vAlign w:val="center"/>
          </w:tcPr>
          <w:p w14:paraId="0CCBAA59">
            <w:pPr>
              <w:wordWrap w:val="0"/>
              <w:jc w:val="center"/>
              <w:rPr>
                <w:rFonts w:hint="eastAsia" w:asciiTheme="minorEastAsia" w:hAnsiTheme="minorEastAsia" w:eastAsiaTheme="minorEastAsia" w:cstheme="minorEastAsia"/>
                <w:highlight w:val="none"/>
              </w:rPr>
            </w:pPr>
          </w:p>
        </w:tc>
      </w:tr>
    </w:tbl>
    <w:p w14:paraId="58FD730E">
      <w:pPr>
        <w:pStyle w:val="3"/>
        <w:tabs>
          <w:tab w:val="left" w:pos="1435"/>
          <w:tab w:val="left" w:pos="2515"/>
          <w:tab w:val="left" w:pos="3120"/>
        </w:tabs>
        <w:wordWrap w:val="0"/>
        <w:spacing w:before="26"/>
        <w:ind w:left="115" w:right="16"/>
        <w:rPr>
          <w:rFonts w:hint="eastAsia" w:asciiTheme="minorEastAsia" w:hAnsiTheme="minorEastAsia" w:eastAsiaTheme="minorEastAsia" w:cstheme="minorEastAsia"/>
          <w:szCs w:val="21"/>
          <w:highlight w:val="none"/>
        </w:rPr>
      </w:pPr>
    </w:p>
    <w:p w14:paraId="7C03D0C8">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十一、其他证明资料</w:t>
      </w:r>
    </w:p>
    <w:p w14:paraId="286B31D5">
      <w:pPr>
        <w:wordWrap w:val="0"/>
        <w:spacing w:before="100" w:beforeAutospacing="1" w:after="120" w:line="48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提供符合竞争性磋商公告、评审办法等规定的相关证明文件。</w:t>
      </w:r>
    </w:p>
    <w:p w14:paraId="4FB6F795">
      <w:pPr>
        <w:pStyle w:val="2"/>
        <w:ind w:left="0" w:firstLine="0"/>
        <w:rPr>
          <w:rFonts w:hint="eastAsia"/>
          <w:highlight w:val="none"/>
        </w:rPr>
      </w:pPr>
    </w:p>
    <w:sectPr>
      <w:pgSz w:w="11906" w:h="16838"/>
      <w:pgMar w:top="1440" w:right="1559" w:bottom="1440" w:left="155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1"/>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1"/>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1"/>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5DEEDD9E">
    <w:pPr>
      <w:pStyle w:val="2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1"/>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68AEE8E3">
    <w:pPr>
      <w:pStyle w:val="2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2"/>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2"/>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67B24019">
    <w:pPr>
      <w:pStyle w:val="22"/>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abstractNum w:abstractNumId="2">
    <w:nsid w:val="41BD319D"/>
    <w:multiLevelType w:val="multilevel"/>
    <w:tmpl w:val="41BD319D"/>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5A"/>
    <w:rsid w:val="000459F7"/>
    <w:rsid w:val="000D1DD0"/>
    <w:rsid w:val="00146C04"/>
    <w:rsid w:val="0018302C"/>
    <w:rsid w:val="001D4BE7"/>
    <w:rsid w:val="001F41B2"/>
    <w:rsid w:val="002159B0"/>
    <w:rsid w:val="002D2C2D"/>
    <w:rsid w:val="00370BBB"/>
    <w:rsid w:val="003E64FF"/>
    <w:rsid w:val="004A1612"/>
    <w:rsid w:val="0052027E"/>
    <w:rsid w:val="005B3760"/>
    <w:rsid w:val="0066273A"/>
    <w:rsid w:val="007E7F60"/>
    <w:rsid w:val="00835926"/>
    <w:rsid w:val="00DC68BB"/>
    <w:rsid w:val="00DF0350"/>
    <w:rsid w:val="00E108C5"/>
    <w:rsid w:val="00E1645A"/>
    <w:rsid w:val="00E8743A"/>
    <w:rsid w:val="00EC08B3"/>
    <w:rsid w:val="01D46B46"/>
    <w:rsid w:val="0394658D"/>
    <w:rsid w:val="0ABB08A3"/>
    <w:rsid w:val="0CA271F6"/>
    <w:rsid w:val="0FB81855"/>
    <w:rsid w:val="147246C9"/>
    <w:rsid w:val="1497412F"/>
    <w:rsid w:val="15634011"/>
    <w:rsid w:val="15C56A7A"/>
    <w:rsid w:val="18956BD8"/>
    <w:rsid w:val="19467ED2"/>
    <w:rsid w:val="1A604FC3"/>
    <w:rsid w:val="1AC15A62"/>
    <w:rsid w:val="1CE16950"/>
    <w:rsid w:val="1D8316F5"/>
    <w:rsid w:val="1DDB508D"/>
    <w:rsid w:val="1FB02549"/>
    <w:rsid w:val="21D97B35"/>
    <w:rsid w:val="25E928EE"/>
    <w:rsid w:val="28F434A6"/>
    <w:rsid w:val="2A16744D"/>
    <w:rsid w:val="2B807273"/>
    <w:rsid w:val="2E3D769E"/>
    <w:rsid w:val="2EED2E72"/>
    <w:rsid w:val="310048D1"/>
    <w:rsid w:val="34321327"/>
    <w:rsid w:val="38FF3ECD"/>
    <w:rsid w:val="39C80763"/>
    <w:rsid w:val="3A916DA7"/>
    <w:rsid w:val="3BCB5F96"/>
    <w:rsid w:val="3CA07775"/>
    <w:rsid w:val="3D826E7B"/>
    <w:rsid w:val="3DAC214A"/>
    <w:rsid w:val="3DC079A3"/>
    <w:rsid w:val="3F281CA4"/>
    <w:rsid w:val="410F6C78"/>
    <w:rsid w:val="42C6780A"/>
    <w:rsid w:val="44A27E03"/>
    <w:rsid w:val="47634850"/>
    <w:rsid w:val="48CE782A"/>
    <w:rsid w:val="4AED52EA"/>
    <w:rsid w:val="4E4361B3"/>
    <w:rsid w:val="50901457"/>
    <w:rsid w:val="50AA2519"/>
    <w:rsid w:val="50BC224C"/>
    <w:rsid w:val="51A90A23"/>
    <w:rsid w:val="520E4D2A"/>
    <w:rsid w:val="52F1442F"/>
    <w:rsid w:val="59172716"/>
    <w:rsid w:val="5B4B48F9"/>
    <w:rsid w:val="5C1949F7"/>
    <w:rsid w:val="5E383BE3"/>
    <w:rsid w:val="5E930A90"/>
    <w:rsid w:val="60E47381"/>
    <w:rsid w:val="614B5652"/>
    <w:rsid w:val="6367429A"/>
    <w:rsid w:val="64D92F75"/>
    <w:rsid w:val="690A7BA1"/>
    <w:rsid w:val="6B362ECF"/>
    <w:rsid w:val="6C0F54CE"/>
    <w:rsid w:val="6CF44DF0"/>
    <w:rsid w:val="6DCF13B9"/>
    <w:rsid w:val="6E9323E7"/>
    <w:rsid w:val="6F2A4AF9"/>
    <w:rsid w:val="720C498A"/>
    <w:rsid w:val="761262E7"/>
    <w:rsid w:val="7726029C"/>
    <w:rsid w:val="78680440"/>
    <w:rsid w:val="79020895"/>
    <w:rsid w:val="7C2F06B3"/>
    <w:rsid w:val="7C3B4E8A"/>
    <w:rsid w:val="7E663674"/>
    <w:rsid w:val="7F6776A3"/>
    <w:rsid w:val="7F946A12"/>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40"/>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41"/>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index 4"/>
    <w:basedOn w:val="1"/>
    <w:next w:val="1"/>
    <w:qFormat/>
    <w:uiPriority w:val="99"/>
    <w:pPr>
      <w:ind w:left="600" w:leftChars="600"/>
    </w:pPr>
    <w:rPr>
      <w:szCs w:val="24"/>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unhideWhenUsed/>
    <w:qFormat/>
    <w:uiPriority w:val="0"/>
    <w:rPr>
      <w:rFonts w:ascii="宋体" w:hAnsi="Courier New"/>
      <w:kern w:val="0"/>
      <w:sz w:val="20"/>
      <w:szCs w:val="21"/>
    </w:rPr>
  </w:style>
  <w:style w:type="paragraph" w:styleId="17">
    <w:name w:val="toc 8"/>
    <w:basedOn w:val="1"/>
    <w:next w:val="1"/>
    <w:qFormat/>
    <w:uiPriority w:val="0"/>
    <w:pPr>
      <w:ind w:left="2940" w:leftChars="1400"/>
    </w:pPr>
  </w:style>
  <w:style w:type="paragraph" w:styleId="18">
    <w:name w:val="Date"/>
    <w:basedOn w:val="1"/>
    <w:next w:val="1"/>
    <w:link w:val="42"/>
    <w:qFormat/>
    <w:uiPriority w:val="0"/>
    <w:rPr>
      <w:rFonts w:ascii="Arial" w:hAnsi="Arial"/>
      <w:sz w:val="28"/>
    </w:rPr>
  </w:style>
  <w:style w:type="paragraph" w:styleId="19">
    <w:name w:val="Body Text Indent 2"/>
    <w:basedOn w:val="1"/>
    <w:qFormat/>
    <w:uiPriority w:val="0"/>
    <w:pPr>
      <w:tabs>
        <w:tab w:val="left" w:pos="720"/>
      </w:tabs>
      <w:ind w:right="-506" w:rightChars="-241" w:firstLine="538" w:firstLineChars="192"/>
    </w:pPr>
    <w:rPr>
      <w:rFonts w:eastAsia="仿宋_GB2312"/>
      <w:sz w:val="28"/>
    </w:rPr>
  </w:style>
  <w:style w:type="paragraph" w:styleId="20">
    <w:name w:val="Balloon Text"/>
    <w:basedOn w:val="1"/>
    <w:qFormat/>
    <w:uiPriority w:val="0"/>
    <w:rPr>
      <w:sz w:val="18"/>
      <w:szCs w:val="18"/>
    </w:rPr>
  </w:style>
  <w:style w:type="paragraph" w:styleId="21">
    <w:name w:val="footer"/>
    <w:basedOn w:val="1"/>
    <w:link w:val="43"/>
    <w:qFormat/>
    <w:uiPriority w:val="0"/>
    <w:pPr>
      <w:tabs>
        <w:tab w:val="center" w:pos="4153"/>
        <w:tab w:val="right" w:pos="8306"/>
      </w:tabs>
      <w:snapToGrid w:val="0"/>
      <w:jc w:val="left"/>
    </w:pPr>
    <w:rPr>
      <w:sz w:val="18"/>
      <w:szCs w:val="18"/>
    </w:rPr>
  </w:style>
  <w:style w:type="paragraph" w:styleId="22">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0">
    <w:name w:val="annotation subject"/>
    <w:basedOn w:val="10"/>
    <w:next w:val="10"/>
    <w:link w:val="96"/>
    <w:qFormat/>
    <w:uiPriority w:val="0"/>
    <w:rPr>
      <w:b/>
      <w:bCs/>
    </w:rPr>
  </w:style>
  <w:style w:type="paragraph" w:styleId="31">
    <w:name w:val="Body Text First Indent 2"/>
    <w:basedOn w:val="11"/>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4"/>
    <w:qFormat/>
    <w:uiPriority w:val="0"/>
    <w:rPr>
      <w:rFonts w:eastAsia="宋体"/>
      <w:kern w:val="2"/>
      <w:sz w:val="28"/>
      <w:szCs w:val="24"/>
      <w:lang w:val="en-US" w:eastAsia="zh-CN" w:bidi="ar-SA"/>
    </w:rPr>
  </w:style>
  <w:style w:type="character" w:customStyle="1" w:styleId="41">
    <w:name w:val="批注文字 字符"/>
    <w:link w:val="10"/>
    <w:qFormat/>
    <w:uiPriority w:val="0"/>
    <w:rPr>
      <w:rFonts w:eastAsia="宋体"/>
      <w:kern w:val="2"/>
      <w:sz w:val="21"/>
      <w:lang w:val="en-US" w:eastAsia="zh-CN" w:bidi="ar-SA"/>
    </w:rPr>
  </w:style>
  <w:style w:type="character" w:customStyle="1" w:styleId="42">
    <w:name w:val="日期 字符"/>
    <w:link w:val="18"/>
    <w:qFormat/>
    <w:uiPriority w:val="0"/>
    <w:rPr>
      <w:rFonts w:ascii="Arial" w:hAnsi="Arial" w:eastAsia="楷体_GB2312"/>
      <w:kern w:val="2"/>
      <w:sz w:val="28"/>
      <w:lang w:bidi="ar-SA"/>
    </w:rPr>
  </w:style>
  <w:style w:type="character" w:customStyle="1" w:styleId="43">
    <w:name w:val="页脚 字符"/>
    <w:link w:val="21"/>
    <w:qFormat/>
    <w:uiPriority w:val="0"/>
    <w:rPr>
      <w:kern w:val="2"/>
      <w:sz w:val="18"/>
      <w:szCs w:val="18"/>
    </w:rPr>
  </w:style>
  <w:style w:type="character" w:customStyle="1" w:styleId="44">
    <w:name w:val="页眉 字符"/>
    <w:link w:val="22"/>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customStyle="1" w:styleId="71">
    <w:name w:val="列表段落1"/>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5"/>
    <w:qFormat/>
    <w:uiPriority w:val="0"/>
    <w:pPr>
      <w:spacing w:line="240" w:lineRule="auto"/>
    </w:pPr>
    <w:rPr>
      <w:rFonts w:ascii="宋体" w:hAnsi="宋体" w:eastAsia="宋体"/>
      <w:sz w:val="21"/>
    </w:rPr>
  </w:style>
  <w:style w:type="paragraph" w:customStyle="1" w:styleId="81">
    <w:name w:val="D&amp;L"/>
    <w:basedOn w:val="2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30"/>
    <w:qFormat/>
    <w:uiPriority w:val="0"/>
    <w:rPr>
      <w:rFonts w:eastAsia="宋体"/>
      <w:b/>
      <w:bCs/>
      <w:kern w:val="2"/>
      <w:sz w:val="21"/>
      <w:lang w:val="en-US" w:eastAsia="zh-CN" w:bidi="ar-SA"/>
    </w:rPr>
  </w:style>
  <w:style w:type="paragraph" w:customStyle="1" w:styleId="97">
    <w:name w:val="p0"/>
    <w:basedOn w:val="1"/>
    <w:qFormat/>
    <w:uiPriority w:val="0"/>
    <w:pPr>
      <w:widowControl/>
    </w:pPr>
    <w:rPr>
      <w:kern w:val="0"/>
      <w:szCs w:val="21"/>
    </w:rPr>
  </w:style>
  <w:style w:type="paragraph" w:customStyle="1" w:styleId="98">
    <w:name w:val="Default"/>
    <w:qFormat/>
    <w:uiPriority w:val="0"/>
    <w:pPr>
      <w:widowControl w:val="0"/>
      <w:autoSpaceDE w:val="0"/>
      <w:autoSpaceDN w:val="0"/>
      <w:adjustRightInd w:val="0"/>
      <w:spacing w:after="160" w:line="278" w:lineRule="auto"/>
    </w:pPr>
    <w:rPr>
      <w:rFonts w:ascii="黑体" w:hAnsi="Times New Roman" w:eastAsia="黑体" w:cs="Times New Roman"/>
      <w:lang w:val="en-US" w:eastAsia="zh-CN" w:bidi="ar-SA"/>
    </w:rPr>
  </w:style>
  <w:style w:type="character" w:customStyle="1" w:styleId="99">
    <w:name w:val="标题 2 Char Char"/>
    <w:qFormat/>
    <w:uiPriority w:val="0"/>
    <w:rPr>
      <w:rFonts w:ascii="Arial" w:hAnsi="Arial" w:eastAsia="黑体" w:cs="Times New Roman"/>
      <w:b/>
      <w:bCs/>
      <w:kern w:val="2"/>
      <w:sz w:val="32"/>
      <w:szCs w:val="32"/>
      <w:lang w:val="en-US" w:eastAsia="zh-CN" w:bidi="ar-SA"/>
    </w:rPr>
  </w:style>
  <w:style w:type="paragraph" w:customStyle="1" w:styleId="100">
    <w:name w:val="修订3"/>
    <w:hidden/>
    <w:unhideWhenUsed/>
    <w:uiPriority w:val="99"/>
    <w:rPr>
      <w:rFonts w:ascii="方正书宋简体" w:hAnsi="方正书宋简体" w:eastAsia="楷体_GB2312" w:cs="方正书宋简体"/>
      <w:kern w:val="2"/>
      <w:sz w:val="21"/>
      <w:lang w:val="en-US" w:eastAsia="zh-CN" w:bidi="ar-SA"/>
    </w:rPr>
  </w:style>
  <w:style w:type="paragraph" w:customStyle="1" w:styleId="101">
    <w:name w:val="Revision"/>
    <w:hidden/>
    <w:unhideWhenUsed/>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39</Pages>
  <Words>12357</Words>
  <Characters>12853</Characters>
  <Lines>601</Lines>
  <Paragraphs>642</Paragraphs>
  <TotalTime>26</TotalTime>
  <ScaleCrop>false</ScaleCrop>
  <LinksUpToDate>false</LinksUpToDate>
  <CharactersWithSpaces>13924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2025-07-25T06:03:00Z</dcterms:created>
  <dc:creator>Administrator</dc:creator>
  <cp:lastModifiedBy>Doris</cp:lastModifiedBy>
  <cp:lastPrinted>2016-04-21T15:25:00Z</cp:lastPrinted>
  <dcterms:modified xsi:type="dcterms:W3CDTF">2025-08-05T08:23:03Z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4912A4296A6745EB9B79CD1DB0C2F2A4_13</vt:lpwstr>
  </property>
  <property fmtid="{D5CDD505-2E9C-101B-9397-08002B2CF9AE}" pid="4" name="KSOTemplateDocerSaveRecord">
    <vt:lpwstr>eyJoZGlkIjoiZDRkNzI5NTRiYWRlNDRiNDZjMzIwYWNhNTQxNjE3NGMiLCJ1c2VySWQiOiI2ODM4MTg5ODEifQ==</vt:lpwstr>
  </property>
</Properties>
</file>