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860FC">
      <w:pPr>
        <w:widowControl/>
        <w:tabs>
          <w:tab w:val="center" w:pos="4153"/>
        </w:tabs>
        <w:spacing w:line="440" w:lineRule="exact"/>
        <w:jc w:val="center"/>
        <w:rPr>
          <w:rFonts w:eastAsia="仿宋"/>
          <w:color w:val="auto"/>
          <w:sz w:val="36"/>
          <w:szCs w:val="36"/>
        </w:rPr>
      </w:pPr>
    </w:p>
    <w:p w14:paraId="6F9D9D14">
      <w:pPr>
        <w:widowControl/>
        <w:tabs>
          <w:tab w:val="center" w:pos="4153"/>
        </w:tabs>
        <w:spacing w:line="440" w:lineRule="exact"/>
        <w:jc w:val="center"/>
        <w:rPr>
          <w:rFonts w:eastAsia="仿宋"/>
          <w:color w:val="auto"/>
          <w:sz w:val="36"/>
          <w:szCs w:val="36"/>
        </w:rPr>
      </w:pPr>
    </w:p>
    <w:p w14:paraId="0C9FFA16">
      <w:pPr>
        <w:widowControl/>
        <w:tabs>
          <w:tab w:val="center" w:pos="4153"/>
        </w:tabs>
        <w:spacing w:line="440" w:lineRule="exact"/>
        <w:jc w:val="center"/>
        <w:rPr>
          <w:rFonts w:eastAsia="仿宋"/>
          <w:color w:val="auto"/>
          <w:sz w:val="36"/>
          <w:szCs w:val="36"/>
        </w:rPr>
      </w:pPr>
    </w:p>
    <w:p w14:paraId="7049CE2B">
      <w:pPr>
        <w:widowControl/>
        <w:tabs>
          <w:tab w:val="center" w:pos="4153"/>
        </w:tabs>
        <w:spacing w:line="440" w:lineRule="exact"/>
        <w:jc w:val="center"/>
        <w:rPr>
          <w:rFonts w:eastAsia="仿宋"/>
          <w:color w:val="auto"/>
          <w:sz w:val="36"/>
          <w:szCs w:val="36"/>
        </w:rPr>
      </w:pPr>
    </w:p>
    <w:p w14:paraId="5A773FF4">
      <w:pPr>
        <w:widowControl/>
        <w:tabs>
          <w:tab w:val="center" w:pos="4153"/>
        </w:tabs>
        <w:spacing w:line="440" w:lineRule="exact"/>
        <w:jc w:val="center"/>
        <w:rPr>
          <w:rFonts w:hint="eastAsia" w:ascii="仿宋" w:hAnsi="仿宋" w:eastAsia="仿宋" w:cs="仿宋"/>
          <w:color w:val="auto"/>
          <w:sz w:val="36"/>
          <w:szCs w:val="36"/>
        </w:rPr>
      </w:pPr>
    </w:p>
    <w:p w14:paraId="6E560C98">
      <w:pPr>
        <w:widowControl/>
        <w:spacing w:line="480" w:lineRule="auto"/>
        <w:jc w:val="center"/>
        <w:rPr>
          <w:rFonts w:hint="eastAsia" w:ascii="仿宋" w:hAnsi="仿宋" w:eastAsia="仿宋" w:cs="仿宋"/>
          <w:color w:val="auto"/>
          <w:sz w:val="44"/>
          <w:szCs w:val="44"/>
          <w:lang w:bidi="ar"/>
        </w:rPr>
      </w:pPr>
      <w:r>
        <w:rPr>
          <w:rFonts w:hint="eastAsia" w:ascii="仿宋" w:hAnsi="仿宋" w:eastAsia="仿宋" w:cs="仿宋"/>
          <w:color w:val="auto"/>
          <w:sz w:val="44"/>
          <w:szCs w:val="44"/>
          <w:lang w:bidi="ar"/>
        </w:rPr>
        <w:t>合肥综合性科学中心环境研究院</w:t>
      </w:r>
    </w:p>
    <w:p w14:paraId="2BDD690E">
      <w:pPr>
        <w:widowControl/>
        <w:spacing w:line="480" w:lineRule="auto"/>
        <w:jc w:val="center"/>
        <w:rPr>
          <w:rFonts w:hint="eastAsia" w:ascii="仿宋" w:hAnsi="仿宋" w:eastAsia="仿宋" w:cs="仿宋"/>
          <w:color w:val="auto"/>
          <w:sz w:val="44"/>
          <w:szCs w:val="44"/>
          <w:lang w:bidi="ar"/>
        </w:rPr>
      </w:pPr>
      <w:r>
        <w:rPr>
          <w:rFonts w:hint="eastAsia" w:ascii="仿宋" w:hAnsi="仿宋" w:eastAsia="仿宋" w:cs="仿宋"/>
          <w:color w:val="auto"/>
          <w:sz w:val="44"/>
          <w:szCs w:val="44"/>
          <w:lang w:bidi="ar"/>
        </w:rPr>
        <w:t>分析测试中心CNAS实验室认可咨询服务项目采购</w:t>
      </w:r>
    </w:p>
    <w:p w14:paraId="681409C3">
      <w:pPr>
        <w:widowControl/>
        <w:spacing w:line="360" w:lineRule="auto"/>
        <w:jc w:val="center"/>
        <w:rPr>
          <w:rFonts w:eastAsia="仿宋" w:cs="仿宋"/>
          <w:b/>
          <w:color w:val="auto"/>
          <w:sz w:val="72"/>
          <w:lang w:bidi="ar"/>
        </w:rPr>
      </w:pPr>
    </w:p>
    <w:p w14:paraId="63C76936">
      <w:pPr>
        <w:pStyle w:val="6"/>
        <w:rPr>
          <w:color w:val="auto"/>
        </w:rPr>
      </w:pPr>
    </w:p>
    <w:p w14:paraId="741C219E">
      <w:pPr>
        <w:widowControl/>
        <w:spacing w:line="360" w:lineRule="auto"/>
        <w:jc w:val="center"/>
        <w:rPr>
          <w:rFonts w:eastAsia="仿宋"/>
          <w:b/>
          <w:color w:val="auto"/>
          <w:sz w:val="72"/>
        </w:rPr>
      </w:pPr>
      <w:r>
        <w:rPr>
          <w:rFonts w:hint="eastAsia" w:eastAsia="仿宋" w:cs="仿宋"/>
          <w:b/>
          <w:color w:val="auto"/>
          <w:sz w:val="72"/>
          <w:lang w:bidi="ar"/>
        </w:rPr>
        <w:t>竞争性磋商文件</w:t>
      </w:r>
    </w:p>
    <w:p w14:paraId="7642A4E7">
      <w:pPr>
        <w:widowControl/>
        <w:spacing w:line="600" w:lineRule="auto"/>
        <w:jc w:val="center"/>
        <w:rPr>
          <w:rFonts w:eastAsia="仿宋"/>
          <w:b/>
          <w:color w:val="auto"/>
          <w:sz w:val="36"/>
          <w:szCs w:val="36"/>
        </w:rPr>
      </w:pPr>
    </w:p>
    <w:p w14:paraId="75BD3185">
      <w:pPr>
        <w:widowControl/>
        <w:tabs>
          <w:tab w:val="center" w:pos="4153"/>
        </w:tabs>
        <w:spacing w:line="480" w:lineRule="auto"/>
        <w:jc w:val="center"/>
        <w:rPr>
          <w:rFonts w:eastAsia="仿宋"/>
          <w:color w:val="auto"/>
          <w:sz w:val="36"/>
          <w:szCs w:val="36"/>
        </w:rPr>
      </w:pPr>
    </w:p>
    <w:p w14:paraId="7621A20A">
      <w:pPr>
        <w:widowControl/>
        <w:tabs>
          <w:tab w:val="center" w:pos="4153"/>
        </w:tabs>
        <w:spacing w:line="480" w:lineRule="auto"/>
        <w:jc w:val="center"/>
        <w:rPr>
          <w:rFonts w:eastAsia="仿宋"/>
          <w:color w:val="auto"/>
          <w:sz w:val="36"/>
          <w:szCs w:val="36"/>
        </w:rPr>
      </w:pPr>
    </w:p>
    <w:p w14:paraId="03525B0A">
      <w:pPr>
        <w:widowControl/>
        <w:tabs>
          <w:tab w:val="center" w:pos="4153"/>
        </w:tabs>
        <w:spacing w:line="480" w:lineRule="auto"/>
        <w:jc w:val="center"/>
        <w:rPr>
          <w:rFonts w:eastAsia="仿宋"/>
          <w:color w:val="auto"/>
          <w:sz w:val="36"/>
          <w:szCs w:val="36"/>
        </w:rPr>
      </w:pPr>
    </w:p>
    <w:p w14:paraId="097B366C">
      <w:pPr>
        <w:widowControl/>
        <w:tabs>
          <w:tab w:val="center" w:pos="4153"/>
        </w:tabs>
        <w:spacing w:line="480" w:lineRule="auto"/>
        <w:jc w:val="center"/>
        <w:rPr>
          <w:rFonts w:eastAsia="仿宋"/>
          <w:color w:val="auto"/>
          <w:sz w:val="36"/>
          <w:szCs w:val="36"/>
        </w:rPr>
      </w:pPr>
    </w:p>
    <w:p w14:paraId="56E39205">
      <w:pPr>
        <w:widowControl/>
        <w:tabs>
          <w:tab w:val="center" w:pos="4153"/>
        </w:tabs>
        <w:spacing w:line="480" w:lineRule="auto"/>
        <w:jc w:val="center"/>
        <w:rPr>
          <w:rFonts w:eastAsia="仿宋"/>
          <w:color w:val="auto"/>
          <w:sz w:val="36"/>
          <w:szCs w:val="36"/>
        </w:rPr>
      </w:pPr>
    </w:p>
    <w:p w14:paraId="7365B0E8">
      <w:pPr>
        <w:widowControl/>
        <w:tabs>
          <w:tab w:val="center" w:pos="4153"/>
        </w:tabs>
        <w:spacing w:line="480" w:lineRule="auto"/>
        <w:jc w:val="center"/>
        <w:rPr>
          <w:rFonts w:eastAsia="仿宋"/>
          <w:color w:val="auto"/>
          <w:sz w:val="36"/>
          <w:szCs w:val="36"/>
        </w:rPr>
      </w:pPr>
    </w:p>
    <w:p w14:paraId="1F40A2CE">
      <w:pPr>
        <w:widowControl/>
        <w:tabs>
          <w:tab w:val="center" w:pos="4153"/>
        </w:tabs>
        <w:spacing w:line="480" w:lineRule="auto"/>
        <w:jc w:val="center"/>
        <w:rPr>
          <w:rFonts w:eastAsia="仿宋"/>
          <w:color w:val="auto"/>
          <w:sz w:val="36"/>
          <w:szCs w:val="36"/>
        </w:rPr>
      </w:pPr>
    </w:p>
    <w:p w14:paraId="0DB26951">
      <w:pPr>
        <w:widowControl/>
        <w:tabs>
          <w:tab w:val="center" w:pos="4153"/>
        </w:tabs>
        <w:spacing w:line="480" w:lineRule="auto"/>
        <w:jc w:val="center"/>
        <w:rPr>
          <w:rFonts w:eastAsia="仿宋"/>
          <w:color w:val="auto"/>
          <w:sz w:val="36"/>
          <w:szCs w:val="36"/>
        </w:rPr>
      </w:pPr>
    </w:p>
    <w:p w14:paraId="107F0FE9">
      <w:pPr>
        <w:widowControl/>
        <w:tabs>
          <w:tab w:val="center" w:pos="4153"/>
        </w:tabs>
        <w:spacing w:line="480" w:lineRule="auto"/>
        <w:ind w:firstLine="1699" w:firstLineChars="531"/>
        <w:rPr>
          <w:rFonts w:eastAsia="仿宋"/>
          <w:color w:val="auto"/>
          <w:sz w:val="32"/>
          <w:szCs w:val="36"/>
        </w:rPr>
      </w:pPr>
      <w:r>
        <w:rPr>
          <w:rFonts w:hint="eastAsia" w:eastAsia="仿宋" w:cs="仿宋"/>
          <w:color w:val="auto"/>
          <w:sz w:val="32"/>
          <w:szCs w:val="36"/>
          <w:lang w:bidi="ar"/>
        </w:rPr>
        <w:t>采购人：合肥综合性科学中心环境研究院</w:t>
      </w:r>
    </w:p>
    <w:p w14:paraId="75921C0F">
      <w:pPr>
        <w:widowControl/>
        <w:tabs>
          <w:tab w:val="center" w:pos="4153"/>
        </w:tabs>
        <w:spacing w:line="480" w:lineRule="auto"/>
        <w:ind w:firstLine="755" w:firstLineChars="236"/>
        <w:jc w:val="center"/>
        <w:rPr>
          <w:rFonts w:eastAsia="仿宋"/>
          <w:color w:val="auto"/>
          <w:sz w:val="36"/>
          <w:szCs w:val="36"/>
        </w:rPr>
      </w:pPr>
      <w:r>
        <w:rPr>
          <w:rFonts w:eastAsia="仿宋"/>
          <w:color w:val="auto"/>
          <w:sz w:val="32"/>
          <w:szCs w:val="36"/>
          <w:lang w:bidi="ar"/>
        </w:rPr>
        <w:t>202</w:t>
      </w:r>
      <w:r>
        <w:rPr>
          <w:rFonts w:hint="eastAsia" w:eastAsia="仿宋"/>
          <w:color w:val="auto"/>
          <w:sz w:val="32"/>
          <w:szCs w:val="36"/>
          <w:lang w:bidi="ar"/>
        </w:rPr>
        <w:t>6</w:t>
      </w:r>
      <w:r>
        <w:rPr>
          <w:rFonts w:hint="eastAsia" w:eastAsia="仿宋" w:cs="仿宋"/>
          <w:color w:val="auto"/>
          <w:sz w:val="32"/>
          <w:szCs w:val="36"/>
          <w:lang w:bidi="ar"/>
        </w:rPr>
        <w:t>年</w:t>
      </w:r>
      <w:r>
        <w:rPr>
          <w:rFonts w:hint="eastAsia" w:eastAsia="仿宋"/>
          <w:color w:val="auto"/>
          <w:sz w:val="32"/>
          <w:szCs w:val="36"/>
          <w:lang w:bidi="ar"/>
        </w:rPr>
        <w:t>7</w:t>
      </w:r>
      <w:r>
        <w:rPr>
          <w:rFonts w:hint="eastAsia" w:eastAsia="仿宋" w:cs="仿宋"/>
          <w:color w:val="auto"/>
          <w:sz w:val="32"/>
          <w:szCs w:val="36"/>
          <w:lang w:bidi="ar"/>
        </w:rPr>
        <w:t>月1</w:t>
      </w:r>
      <w:r>
        <w:rPr>
          <w:rFonts w:hint="eastAsia" w:eastAsia="仿宋" w:cs="仿宋"/>
          <w:color w:val="auto"/>
          <w:sz w:val="32"/>
          <w:szCs w:val="36"/>
          <w:lang w:val="en-US" w:eastAsia="zh-CN" w:bidi="ar"/>
        </w:rPr>
        <w:t>4</w:t>
      </w:r>
      <w:r>
        <w:rPr>
          <w:rFonts w:hint="eastAsia" w:eastAsia="仿宋" w:cs="仿宋"/>
          <w:color w:val="auto"/>
          <w:sz w:val="32"/>
          <w:szCs w:val="36"/>
          <w:lang w:bidi="ar"/>
        </w:rPr>
        <w:t>日</w:t>
      </w:r>
    </w:p>
    <w:p w14:paraId="014B510E">
      <w:pPr>
        <w:spacing w:line="480" w:lineRule="auto"/>
        <w:rPr>
          <w:rFonts w:eastAsia="仿宋"/>
          <w:color w:val="auto"/>
          <w:sz w:val="36"/>
          <w:szCs w:val="36"/>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41714540">
      <w:pPr>
        <w:widowControl/>
        <w:tabs>
          <w:tab w:val="center" w:pos="4153"/>
        </w:tabs>
        <w:spacing w:line="480" w:lineRule="auto"/>
        <w:jc w:val="center"/>
        <w:rPr>
          <w:rFonts w:hint="eastAsia" w:ascii="仿宋" w:hAnsi="仿宋" w:eastAsia="仿宋" w:cs="仿宋"/>
          <w:color w:val="auto"/>
          <w:sz w:val="44"/>
          <w:szCs w:val="52"/>
        </w:rPr>
      </w:pPr>
      <w:r>
        <w:rPr>
          <w:rFonts w:hint="eastAsia" w:ascii="仿宋" w:hAnsi="仿宋" w:eastAsia="仿宋" w:cs="仿宋"/>
          <w:color w:val="auto"/>
          <w:sz w:val="44"/>
          <w:szCs w:val="52"/>
          <w:lang w:bidi="ar"/>
        </w:rPr>
        <w:t>目  录</w:t>
      </w:r>
    </w:p>
    <w:p w14:paraId="317A86D0">
      <w:pPr>
        <w:pStyle w:val="11"/>
        <w:tabs>
          <w:tab w:val="right" w:leader="dot" w:pos="9636"/>
        </w:tabs>
        <w:rPr>
          <w:color w:val="auto"/>
          <w:sz w:val="24"/>
          <w:szCs w:val="24"/>
        </w:rPr>
      </w:pPr>
      <w:r>
        <w:rPr>
          <w:rFonts w:ascii="仿宋" w:hAnsi="仿宋" w:eastAsia="仿宋" w:cs="仿宋"/>
          <w:color w:val="auto"/>
          <w:sz w:val="40"/>
          <w:szCs w:val="40"/>
        </w:rPr>
        <w:fldChar w:fldCharType="begin"/>
      </w:r>
      <w:r>
        <w:rPr>
          <w:rFonts w:ascii="仿宋" w:hAnsi="仿宋" w:eastAsia="仿宋" w:cs="仿宋"/>
          <w:color w:val="auto"/>
          <w:sz w:val="40"/>
          <w:szCs w:val="40"/>
        </w:rPr>
        <w:instrText xml:space="preserve"> TOC \o "1-1" \h \z \u </w:instrText>
      </w:r>
      <w:r>
        <w:rPr>
          <w:rFonts w:ascii="仿宋" w:hAnsi="仿宋" w:eastAsia="仿宋" w:cs="仿宋"/>
          <w:color w:val="auto"/>
          <w:sz w:val="40"/>
          <w:szCs w:val="40"/>
        </w:rPr>
        <w:fldChar w:fldCharType="separate"/>
      </w:r>
      <w:r>
        <w:rPr>
          <w:color w:val="auto"/>
        </w:rPr>
        <w:fldChar w:fldCharType="begin"/>
      </w:r>
      <w:r>
        <w:rPr>
          <w:color w:val="auto"/>
        </w:rPr>
        <w:instrText xml:space="preserve"> HYPERLINK \l "_Toc2569" </w:instrText>
      </w:r>
      <w:r>
        <w:rPr>
          <w:color w:val="auto"/>
        </w:rPr>
        <w:fldChar w:fldCharType="separate"/>
      </w:r>
      <w:r>
        <w:rPr>
          <w:rFonts w:ascii="Calibri" w:hAnsi="Calibri" w:eastAsia="仿宋" w:cs="仿宋"/>
          <w:color w:val="auto"/>
          <w:sz w:val="24"/>
          <w:szCs w:val="24"/>
        </w:rPr>
        <w:t>第一章</w:t>
      </w:r>
      <w:r>
        <w:rPr>
          <w:rFonts w:hint="default" w:ascii="Calibri" w:hAnsi="Calibri" w:eastAsia="仿宋"/>
          <w:color w:val="auto"/>
          <w:sz w:val="24"/>
          <w:szCs w:val="24"/>
        </w:rPr>
        <w:t xml:space="preserve">  </w:t>
      </w:r>
      <w:r>
        <w:rPr>
          <w:rFonts w:ascii="Calibri" w:hAnsi="Calibri" w:eastAsia="仿宋"/>
          <w:color w:val="auto"/>
          <w:sz w:val="24"/>
          <w:szCs w:val="24"/>
        </w:rPr>
        <w:t>竞争性磋商</w:t>
      </w:r>
      <w:r>
        <w:rPr>
          <w:rFonts w:ascii="Calibri" w:hAnsi="Calibri" w:eastAsia="仿宋" w:cs="仿宋"/>
          <w:color w:val="auto"/>
          <w:sz w:val="24"/>
          <w:szCs w:val="24"/>
        </w:rPr>
        <w:t>公告</w:t>
      </w:r>
      <w:r>
        <w:rPr>
          <w:color w:val="auto"/>
          <w:sz w:val="24"/>
          <w:szCs w:val="24"/>
        </w:rPr>
        <w:tab/>
      </w:r>
      <w:r>
        <w:rPr>
          <w:color w:val="auto"/>
          <w:sz w:val="24"/>
          <w:szCs w:val="24"/>
        </w:rPr>
        <w:fldChar w:fldCharType="begin"/>
      </w:r>
      <w:r>
        <w:rPr>
          <w:color w:val="auto"/>
          <w:sz w:val="24"/>
          <w:szCs w:val="24"/>
        </w:rPr>
        <w:instrText xml:space="preserve"> PAGEREF _Toc2569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14:paraId="4492A158">
      <w:pPr>
        <w:pStyle w:val="11"/>
        <w:tabs>
          <w:tab w:val="right" w:leader="dot" w:pos="9636"/>
        </w:tabs>
        <w:rPr>
          <w:color w:val="auto"/>
          <w:sz w:val="24"/>
          <w:szCs w:val="24"/>
        </w:rPr>
      </w:pPr>
      <w:r>
        <w:rPr>
          <w:color w:val="auto"/>
        </w:rPr>
        <w:fldChar w:fldCharType="begin"/>
      </w:r>
      <w:r>
        <w:rPr>
          <w:color w:val="auto"/>
        </w:rPr>
        <w:instrText xml:space="preserve"> HYPERLINK \l "_Toc756" </w:instrText>
      </w:r>
      <w:r>
        <w:rPr>
          <w:color w:val="auto"/>
        </w:rPr>
        <w:fldChar w:fldCharType="separate"/>
      </w:r>
      <w:r>
        <w:rPr>
          <w:rFonts w:ascii="Calibri" w:hAnsi="Calibri" w:eastAsia="仿宋" w:cs="仿宋"/>
          <w:color w:val="auto"/>
          <w:sz w:val="24"/>
          <w:szCs w:val="24"/>
        </w:rPr>
        <w:t>第二章</w:t>
      </w:r>
      <w:r>
        <w:rPr>
          <w:rFonts w:hint="default" w:ascii="Calibri" w:hAnsi="Calibri" w:eastAsia="仿宋"/>
          <w:color w:val="auto"/>
          <w:sz w:val="24"/>
          <w:szCs w:val="24"/>
        </w:rPr>
        <w:t xml:space="preserve">  </w:t>
      </w:r>
      <w:r>
        <w:rPr>
          <w:rFonts w:ascii="Calibri" w:hAnsi="Calibri" w:eastAsia="仿宋" w:cs="仿宋"/>
          <w:color w:val="auto"/>
          <w:sz w:val="24"/>
          <w:szCs w:val="24"/>
        </w:rPr>
        <w:t>供应商须知</w:t>
      </w:r>
      <w:r>
        <w:rPr>
          <w:color w:val="auto"/>
          <w:sz w:val="24"/>
          <w:szCs w:val="24"/>
        </w:rPr>
        <w:tab/>
      </w:r>
      <w:r>
        <w:rPr>
          <w:color w:val="auto"/>
          <w:sz w:val="24"/>
          <w:szCs w:val="24"/>
        </w:rPr>
        <w:fldChar w:fldCharType="begin"/>
      </w:r>
      <w:r>
        <w:rPr>
          <w:color w:val="auto"/>
          <w:sz w:val="24"/>
          <w:szCs w:val="24"/>
        </w:rPr>
        <w:instrText xml:space="preserve"> PAGEREF _Toc756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14:paraId="48448742">
      <w:pPr>
        <w:pStyle w:val="11"/>
        <w:tabs>
          <w:tab w:val="right" w:leader="dot" w:pos="9636"/>
        </w:tabs>
        <w:rPr>
          <w:color w:val="auto"/>
          <w:sz w:val="24"/>
          <w:szCs w:val="24"/>
        </w:rPr>
      </w:pPr>
      <w:r>
        <w:rPr>
          <w:color w:val="auto"/>
        </w:rPr>
        <w:fldChar w:fldCharType="begin"/>
      </w:r>
      <w:r>
        <w:rPr>
          <w:color w:val="auto"/>
        </w:rPr>
        <w:instrText xml:space="preserve"> HYPERLINK \l "_Toc26798" </w:instrText>
      </w:r>
      <w:r>
        <w:rPr>
          <w:color w:val="auto"/>
        </w:rPr>
        <w:fldChar w:fldCharType="separate"/>
      </w:r>
      <w:r>
        <w:rPr>
          <w:rFonts w:ascii="Calibri" w:hAnsi="Calibri" w:eastAsia="仿宋" w:cs="仿宋"/>
          <w:color w:val="auto"/>
          <w:sz w:val="24"/>
          <w:szCs w:val="24"/>
        </w:rPr>
        <w:t>第三章</w:t>
      </w:r>
      <w:r>
        <w:rPr>
          <w:rFonts w:hint="default" w:ascii="Calibri" w:hAnsi="Calibri" w:eastAsia="仿宋"/>
          <w:color w:val="auto"/>
          <w:sz w:val="24"/>
          <w:szCs w:val="24"/>
        </w:rPr>
        <w:t xml:space="preserve">  </w:t>
      </w:r>
      <w:r>
        <w:rPr>
          <w:rFonts w:ascii="Calibri" w:hAnsi="Calibri" w:eastAsia="仿宋" w:cs="仿宋"/>
          <w:color w:val="auto"/>
          <w:sz w:val="24"/>
          <w:szCs w:val="24"/>
        </w:rPr>
        <w:t>采购需求</w:t>
      </w:r>
      <w:r>
        <w:rPr>
          <w:color w:val="auto"/>
          <w:sz w:val="24"/>
          <w:szCs w:val="24"/>
        </w:rPr>
        <w:tab/>
      </w:r>
      <w:r>
        <w:rPr>
          <w:color w:val="auto"/>
          <w:sz w:val="24"/>
          <w:szCs w:val="24"/>
        </w:rPr>
        <w:fldChar w:fldCharType="begin"/>
      </w:r>
      <w:r>
        <w:rPr>
          <w:color w:val="auto"/>
          <w:sz w:val="24"/>
          <w:szCs w:val="24"/>
        </w:rPr>
        <w:instrText xml:space="preserve"> PAGEREF _Toc26798 \h </w:instrText>
      </w:r>
      <w:r>
        <w:rPr>
          <w:color w:val="auto"/>
          <w:sz w:val="24"/>
          <w:szCs w:val="24"/>
        </w:rPr>
        <w:fldChar w:fldCharType="separate"/>
      </w:r>
      <w:r>
        <w:rPr>
          <w:color w:val="auto"/>
          <w:sz w:val="24"/>
          <w:szCs w:val="24"/>
        </w:rPr>
        <w:t>13</w:t>
      </w:r>
      <w:r>
        <w:rPr>
          <w:color w:val="auto"/>
          <w:sz w:val="24"/>
          <w:szCs w:val="24"/>
        </w:rPr>
        <w:fldChar w:fldCharType="end"/>
      </w:r>
      <w:r>
        <w:rPr>
          <w:color w:val="auto"/>
          <w:sz w:val="24"/>
          <w:szCs w:val="24"/>
        </w:rPr>
        <w:fldChar w:fldCharType="end"/>
      </w:r>
    </w:p>
    <w:p w14:paraId="0805C419">
      <w:pPr>
        <w:pStyle w:val="11"/>
        <w:tabs>
          <w:tab w:val="right" w:leader="dot" w:pos="9636"/>
        </w:tabs>
        <w:rPr>
          <w:color w:val="auto"/>
          <w:sz w:val="24"/>
          <w:szCs w:val="24"/>
        </w:rPr>
      </w:pPr>
      <w:r>
        <w:rPr>
          <w:color w:val="auto"/>
        </w:rPr>
        <w:fldChar w:fldCharType="begin"/>
      </w:r>
      <w:r>
        <w:rPr>
          <w:color w:val="auto"/>
        </w:rPr>
        <w:instrText xml:space="preserve"> HYPERLINK \l "_Toc19345" </w:instrText>
      </w:r>
      <w:r>
        <w:rPr>
          <w:color w:val="auto"/>
        </w:rPr>
        <w:fldChar w:fldCharType="separate"/>
      </w:r>
      <w:r>
        <w:rPr>
          <w:rFonts w:ascii="Calibri" w:hAnsi="Calibri" w:eastAsia="仿宋" w:cs="仿宋"/>
          <w:color w:val="auto"/>
          <w:kern w:val="44"/>
          <w:sz w:val="24"/>
          <w:szCs w:val="56"/>
          <w:lang w:bidi="ar"/>
        </w:rPr>
        <w:t>第四章</w:t>
      </w:r>
      <w:r>
        <w:rPr>
          <w:rFonts w:hint="default" w:ascii="Calibri" w:hAnsi="Calibri" w:eastAsia="仿宋"/>
          <w:color w:val="auto"/>
          <w:kern w:val="44"/>
          <w:sz w:val="24"/>
          <w:szCs w:val="56"/>
          <w:lang w:bidi="ar"/>
        </w:rPr>
        <w:t xml:space="preserve">  </w:t>
      </w:r>
      <w:r>
        <w:rPr>
          <w:rFonts w:ascii="Calibri" w:hAnsi="Calibri" w:eastAsia="仿宋" w:cs="仿宋"/>
          <w:color w:val="auto"/>
          <w:kern w:val="44"/>
          <w:sz w:val="24"/>
          <w:szCs w:val="56"/>
          <w:lang w:bidi="ar"/>
        </w:rPr>
        <w:t>评审办法</w:t>
      </w:r>
      <w:r>
        <w:rPr>
          <w:color w:val="auto"/>
          <w:sz w:val="24"/>
          <w:szCs w:val="24"/>
        </w:rPr>
        <w:tab/>
      </w:r>
      <w:r>
        <w:rPr>
          <w:color w:val="auto"/>
          <w:sz w:val="24"/>
          <w:szCs w:val="24"/>
        </w:rPr>
        <w:fldChar w:fldCharType="begin"/>
      </w:r>
      <w:r>
        <w:rPr>
          <w:color w:val="auto"/>
          <w:sz w:val="24"/>
          <w:szCs w:val="24"/>
        </w:rPr>
        <w:instrText xml:space="preserve"> PAGEREF _Toc19345 \h </w:instrText>
      </w:r>
      <w:r>
        <w:rPr>
          <w:color w:val="auto"/>
          <w:sz w:val="24"/>
          <w:szCs w:val="24"/>
        </w:rPr>
        <w:fldChar w:fldCharType="separate"/>
      </w:r>
      <w:r>
        <w:rPr>
          <w:color w:val="auto"/>
          <w:sz w:val="24"/>
          <w:szCs w:val="24"/>
        </w:rPr>
        <w:t>17</w:t>
      </w:r>
      <w:r>
        <w:rPr>
          <w:color w:val="auto"/>
          <w:sz w:val="24"/>
          <w:szCs w:val="24"/>
        </w:rPr>
        <w:fldChar w:fldCharType="end"/>
      </w:r>
      <w:r>
        <w:rPr>
          <w:color w:val="auto"/>
          <w:sz w:val="24"/>
          <w:szCs w:val="24"/>
        </w:rPr>
        <w:fldChar w:fldCharType="end"/>
      </w:r>
    </w:p>
    <w:p w14:paraId="6040B3BE">
      <w:pPr>
        <w:pStyle w:val="11"/>
        <w:tabs>
          <w:tab w:val="right" w:leader="dot" w:pos="9636"/>
        </w:tabs>
        <w:rPr>
          <w:color w:val="auto"/>
          <w:sz w:val="24"/>
          <w:szCs w:val="24"/>
        </w:rPr>
      </w:pPr>
      <w:r>
        <w:rPr>
          <w:color w:val="auto"/>
        </w:rPr>
        <w:fldChar w:fldCharType="begin"/>
      </w:r>
      <w:r>
        <w:rPr>
          <w:color w:val="auto"/>
        </w:rPr>
        <w:instrText xml:space="preserve"> HYPERLINK \l "_Toc22281" </w:instrText>
      </w:r>
      <w:r>
        <w:rPr>
          <w:color w:val="auto"/>
        </w:rPr>
        <w:fldChar w:fldCharType="separate"/>
      </w:r>
      <w:r>
        <w:rPr>
          <w:rFonts w:ascii="Calibri" w:hAnsi="Calibri" w:eastAsia="仿宋" w:cs="仿宋"/>
          <w:color w:val="auto"/>
          <w:sz w:val="24"/>
          <w:szCs w:val="24"/>
        </w:rPr>
        <w:t>第五章</w:t>
      </w:r>
      <w:r>
        <w:rPr>
          <w:rFonts w:hint="default" w:ascii="Calibri" w:hAnsi="Calibri" w:eastAsia="仿宋"/>
          <w:color w:val="auto"/>
          <w:sz w:val="24"/>
          <w:szCs w:val="24"/>
        </w:rPr>
        <w:t xml:space="preserve">  </w:t>
      </w:r>
      <w:r>
        <w:rPr>
          <w:rFonts w:ascii="Calibri" w:hAnsi="Calibri" w:eastAsia="仿宋" w:cs="仿宋"/>
          <w:color w:val="auto"/>
          <w:sz w:val="24"/>
          <w:szCs w:val="24"/>
        </w:rPr>
        <w:t>合同条款及格式</w:t>
      </w:r>
      <w:r>
        <w:rPr>
          <w:color w:val="auto"/>
          <w:sz w:val="24"/>
          <w:szCs w:val="24"/>
        </w:rPr>
        <w:tab/>
      </w:r>
      <w:r>
        <w:rPr>
          <w:color w:val="auto"/>
          <w:sz w:val="24"/>
          <w:szCs w:val="24"/>
        </w:rPr>
        <w:fldChar w:fldCharType="begin"/>
      </w:r>
      <w:r>
        <w:rPr>
          <w:color w:val="auto"/>
          <w:sz w:val="24"/>
          <w:szCs w:val="24"/>
        </w:rPr>
        <w:instrText xml:space="preserve"> PAGEREF _Toc22281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14:paraId="2D3C76DC">
      <w:pPr>
        <w:pStyle w:val="11"/>
        <w:tabs>
          <w:tab w:val="right" w:leader="dot" w:pos="9636"/>
        </w:tabs>
        <w:rPr>
          <w:color w:val="auto"/>
          <w:sz w:val="24"/>
          <w:szCs w:val="24"/>
        </w:rPr>
      </w:pPr>
      <w:r>
        <w:rPr>
          <w:color w:val="auto"/>
        </w:rPr>
        <w:fldChar w:fldCharType="begin"/>
      </w:r>
      <w:r>
        <w:rPr>
          <w:color w:val="auto"/>
        </w:rPr>
        <w:instrText xml:space="preserve"> HYPERLINK \l "_Toc21613" </w:instrText>
      </w:r>
      <w:r>
        <w:rPr>
          <w:color w:val="auto"/>
        </w:rPr>
        <w:fldChar w:fldCharType="separate"/>
      </w:r>
      <w:r>
        <w:rPr>
          <w:rFonts w:ascii="楷体_GB2312" w:hAnsi="楷体_GB2312" w:eastAsia="仿宋" w:cs="仿宋"/>
          <w:color w:val="auto"/>
          <w:sz w:val="24"/>
          <w:szCs w:val="24"/>
        </w:rPr>
        <w:t>第六章</w:t>
      </w:r>
      <w:r>
        <w:rPr>
          <w:rFonts w:ascii="楷体_GB2312" w:hAnsi="楷体_GB2312" w:eastAsia="仿宋" w:cs="楷体_GB2312"/>
          <w:color w:val="auto"/>
          <w:sz w:val="24"/>
          <w:szCs w:val="24"/>
        </w:rPr>
        <w:t xml:space="preserve">  </w:t>
      </w:r>
      <w:r>
        <w:rPr>
          <w:rFonts w:ascii="楷体_GB2312" w:hAnsi="楷体_GB2312" w:eastAsia="仿宋" w:cs="仿宋"/>
          <w:color w:val="auto"/>
          <w:sz w:val="24"/>
          <w:szCs w:val="24"/>
        </w:rPr>
        <w:t>响应文件格式</w:t>
      </w:r>
      <w:r>
        <w:rPr>
          <w:color w:val="auto"/>
          <w:sz w:val="24"/>
          <w:szCs w:val="24"/>
        </w:rPr>
        <w:tab/>
      </w:r>
      <w:r>
        <w:rPr>
          <w:color w:val="auto"/>
          <w:sz w:val="24"/>
          <w:szCs w:val="24"/>
        </w:rPr>
        <w:fldChar w:fldCharType="begin"/>
      </w:r>
      <w:r>
        <w:rPr>
          <w:color w:val="auto"/>
          <w:sz w:val="24"/>
          <w:szCs w:val="24"/>
        </w:rPr>
        <w:instrText xml:space="preserve"> PAGEREF _Toc21613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03A8B2E9">
      <w:pPr>
        <w:widowControl/>
        <w:spacing w:line="360" w:lineRule="auto"/>
        <w:rPr>
          <w:rFonts w:eastAsia="仿宋"/>
          <w:color w:val="auto"/>
          <w:sz w:val="52"/>
          <w:szCs w:val="52"/>
        </w:rPr>
      </w:pPr>
      <w:r>
        <w:rPr>
          <w:rFonts w:hint="eastAsia" w:ascii="仿宋" w:hAnsi="仿宋" w:eastAsia="仿宋" w:cs="仿宋"/>
          <w:color w:val="auto"/>
          <w:sz w:val="28"/>
          <w:szCs w:val="40"/>
          <w:lang w:bidi="ar"/>
        </w:rPr>
        <w:fldChar w:fldCharType="end"/>
      </w:r>
    </w:p>
    <w:p w14:paraId="79E45814">
      <w:pPr>
        <w:spacing w:line="480" w:lineRule="auto"/>
        <w:rPr>
          <w:rFonts w:eastAsia="仿宋"/>
          <w:color w:val="auto"/>
          <w:sz w:val="52"/>
          <w:szCs w:val="52"/>
          <w:lang w:bidi="ar"/>
        </w:rPr>
        <w:sectPr>
          <w:footerReference r:id="rId3" w:type="default"/>
          <w:footnotePr>
            <w:numFmt w:val="decimalEnclosedCircleChinese"/>
            <w:numRestart w:val="eachPage"/>
          </w:footnotePr>
          <w:pgSz w:w="11906" w:h="16838"/>
          <w:pgMar w:top="1135" w:right="1135" w:bottom="1135" w:left="1135" w:header="851" w:footer="851" w:gutter="0"/>
          <w:pgNumType w:start="1"/>
          <w:cols w:space="720" w:num="1"/>
          <w:docGrid w:type="lines" w:linePitch="312" w:charSpace="0"/>
        </w:sectPr>
      </w:pPr>
    </w:p>
    <w:p w14:paraId="4813E363">
      <w:pPr>
        <w:pStyle w:val="2"/>
        <w:keepNext w:val="0"/>
        <w:widowControl/>
        <w:spacing w:before="0" w:after="0" w:line="240" w:lineRule="auto"/>
        <w:jc w:val="center"/>
        <w:rPr>
          <w:rFonts w:ascii="Calibri" w:hAnsi="Calibri" w:eastAsia="仿宋"/>
          <w:bCs w:val="0"/>
          <w:color w:val="auto"/>
          <w:kern w:val="2"/>
          <w:sz w:val="28"/>
          <w:szCs w:val="28"/>
        </w:rPr>
      </w:pPr>
      <w:bookmarkStart w:id="0" w:name="_Toc466024489"/>
      <w:bookmarkStart w:id="1" w:name="_Toc2569"/>
      <w:r>
        <w:rPr>
          <w:rFonts w:hint="eastAsia" w:ascii="Calibri" w:hAnsi="Calibri" w:eastAsia="仿宋" w:cs="仿宋"/>
          <w:color w:val="auto"/>
        </w:rPr>
        <w:t>第一章</w:t>
      </w:r>
      <w:r>
        <w:rPr>
          <w:rFonts w:ascii="Calibri" w:hAnsi="Calibri" w:eastAsia="仿宋"/>
          <w:color w:val="auto"/>
        </w:rPr>
        <w:t xml:space="preserve">  </w:t>
      </w:r>
      <w:r>
        <w:rPr>
          <w:rFonts w:hint="eastAsia" w:ascii="Calibri" w:hAnsi="Calibri" w:eastAsia="仿宋" w:cs="仿宋"/>
          <w:color w:val="auto"/>
        </w:rPr>
        <w:t>竞争性磋商公告</w:t>
      </w:r>
      <w:bookmarkEnd w:id="0"/>
      <w:bookmarkEnd w:id="1"/>
    </w:p>
    <w:p w14:paraId="3E072B00">
      <w:pPr>
        <w:adjustRightInd w:val="0"/>
        <w:snapToGrid w:val="0"/>
        <w:spacing w:line="360" w:lineRule="auto"/>
        <w:ind w:firstLine="480" w:firstLineChars="200"/>
        <w:rPr>
          <w:rFonts w:eastAsia="仿宋" w:cs="仿宋"/>
          <w:color w:val="auto"/>
          <w:sz w:val="24"/>
          <w:lang w:bidi="ar"/>
        </w:rPr>
      </w:pPr>
      <w:bookmarkStart w:id="2" w:name="_Toc35393621"/>
      <w:bookmarkStart w:id="3" w:name="_Toc28359079"/>
      <w:bookmarkStart w:id="4" w:name="_Toc35393790"/>
      <w:bookmarkStart w:id="5" w:name="_Toc28359002"/>
      <w:bookmarkStart w:id="6" w:name="_Hlk24379207"/>
    </w:p>
    <w:p w14:paraId="3247B709">
      <w:pPr>
        <w:adjustRightInd w:val="0"/>
        <w:snapToGrid w:val="0"/>
        <w:spacing w:line="360" w:lineRule="auto"/>
        <w:ind w:firstLine="480" w:firstLineChars="200"/>
        <w:rPr>
          <w:rFonts w:eastAsia="仿宋" w:cs="仿宋"/>
          <w:color w:val="auto"/>
          <w:sz w:val="24"/>
          <w:lang w:bidi="ar"/>
        </w:rPr>
      </w:pPr>
      <w:r>
        <w:rPr>
          <w:rFonts w:eastAsia="仿宋" w:cs="仿宋"/>
          <w:color w:val="auto"/>
          <w:sz w:val="24"/>
          <w:lang w:bidi="ar"/>
        </w:rPr>
        <w:t>为顺利完成</w:t>
      </w:r>
      <w:r>
        <w:rPr>
          <w:rFonts w:hint="eastAsia" w:eastAsia="仿宋" w:cs="仿宋"/>
          <w:color w:val="auto"/>
          <w:sz w:val="24"/>
          <w:lang w:bidi="ar"/>
        </w:rPr>
        <w:t>合肥综合性科学中心环境研究院分析测试中心</w:t>
      </w:r>
      <w:r>
        <w:rPr>
          <w:rFonts w:eastAsia="仿宋" w:cs="仿宋"/>
          <w:color w:val="auto"/>
          <w:sz w:val="24"/>
          <w:lang w:bidi="ar"/>
        </w:rPr>
        <w:t>实验室CNAS（中国合格评定国家认可委员会）认可资质认定申报工作，规范实验室质量管理体系、提升检测技术能力、满足CNAS-CL01:2018《检测和校准实验室能力认可准则》及相关应用说明要求，现对本次</w:t>
      </w:r>
      <w:r>
        <w:rPr>
          <w:rFonts w:hint="eastAsia" w:eastAsia="仿宋" w:cs="仿宋"/>
          <w:color w:val="auto"/>
          <w:sz w:val="24"/>
          <w:lang w:bidi="ar"/>
        </w:rPr>
        <w:t>CNAS实验室认可咨询服务项目采购</w:t>
      </w:r>
      <w:r>
        <w:rPr>
          <w:rFonts w:eastAsia="仿宋" w:cs="仿宋"/>
          <w:color w:val="auto"/>
          <w:sz w:val="24"/>
          <w:lang w:bidi="ar"/>
        </w:rPr>
        <w:t>进行</w:t>
      </w:r>
      <w:r>
        <w:rPr>
          <w:rFonts w:hint="eastAsia" w:eastAsia="仿宋" w:cs="仿宋"/>
          <w:color w:val="auto"/>
          <w:sz w:val="24"/>
          <w:lang w:bidi="ar"/>
        </w:rPr>
        <w:t>竞争性磋商采购</w:t>
      </w:r>
      <w:r>
        <w:rPr>
          <w:rFonts w:eastAsia="仿宋" w:cs="仿宋"/>
          <w:color w:val="auto"/>
          <w:sz w:val="24"/>
          <w:lang w:bidi="ar"/>
        </w:rPr>
        <w:t>，</w:t>
      </w:r>
      <w:r>
        <w:rPr>
          <w:rFonts w:hint="eastAsia" w:eastAsia="仿宋" w:cs="仿宋"/>
          <w:color w:val="auto"/>
          <w:sz w:val="24"/>
          <w:lang w:bidi="ar"/>
        </w:rPr>
        <w:t>拟选取1家专业服务机构，为研究院分析测试中心提供全方位、专业性的技术服务。</w:t>
      </w:r>
      <w:r>
        <w:rPr>
          <w:rFonts w:eastAsia="仿宋" w:cs="仿宋"/>
          <w:color w:val="auto"/>
          <w:sz w:val="24"/>
          <w:lang w:bidi="ar"/>
        </w:rPr>
        <w:t>欢迎符合资质、具备相关服务经验的第三方专业机构</w:t>
      </w:r>
      <w:r>
        <w:rPr>
          <w:rFonts w:hint="eastAsia" w:eastAsia="仿宋" w:cs="仿宋"/>
          <w:color w:val="auto"/>
          <w:sz w:val="24"/>
          <w:lang w:bidi="ar"/>
        </w:rPr>
        <w:t>报名参加</w:t>
      </w:r>
      <w:r>
        <w:rPr>
          <w:rFonts w:eastAsia="仿宋" w:cs="仿宋"/>
          <w:color w:val="auto"/>
          <w:sz w:val="24"/>
          <w:lang w:bidi="ar"/>
        </w:rPr>
        <w:t>。</w:t>
      </w:r>
    </w:p>
    <w:p w14:paraId="6A31447E">
      <w:pPr>
        <w:pStyle w:val="3"/>
        <w:keepNext w:val="0"/>
        <w:widowControl/>
        <w:adjustRightInd w:val="0"/>
        <w:snapToGrid w:val="0"/>
        <w:spacing w:before="62" w:beforeLines="20" w:after="62" w:afterLines="20" w:line="360" w:lineRule="auto"/>
        <w:ind w:firstLine="432" w:firstLineChars="180"/>
        <w:rPr>
          <w:rFonts w:ascii="Arial" w:hAnsi="宋体" w:eastAsia="黑体" w:cs="方正书宋简体"/>
          <w:b w:val="0"/>
          <w:bCs w:val="0"/>
          <w:color w:val="auto"/>
          <w:sz w:val="24"/>
          <w:szCs w:val="24"/>
        </w:rPr>
      </w:pPr>
      <w:r>
        <w:rPr>
          <w:rStyle w:val="19"/>
          <w:rFonts w:ascii="Arial" w:hAnsi="宋体" w:eastAsia="黑体" w:cs="黑体"/>
          <w:b w:val="0"/>
          <w:bCs w:val="0"/>
          <w:color w:val="auto"/>
          <w:sz w:val="24"/>
          <w:szCs w:val="24"/>
        </w:rPr>
        <w:t>一、项目基本情况</w:t>
      </w:r>
      <w:bookmarkEnd w:id="2"/>
      <w:bookmarkEnd w:id="3"/>
      <w:bookmarkEnd w:id="4"/>
      <w:bookmarkEnd w:id="5"/>
    </w:p>
    <w:p w14:paraId="7F1D78FA">
      <w:pPr>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1.项目名称：合肥综合性科学中心环境研究院</w:t>
      </w:r>
      <w:r>
        <w:rPr>
          <w:rFonts w:eastAsia="仿宋" w:cs="仿宋"/>
          <w:color w:val="auto"/>
          <w:sz w:val="24"/>
          <w:lang w:bidi="ar"/>
        </w:rPr>
        <w:t>分析测试中心CNAS实验室认可咨询服务项目采购</w:t>
      </w:r>
    </w:p>
    <w:bookmarkEnd w:id="6"/>
    <w:p w14:paraId="28B6FB8B">
      <w:pPr>
        <w:adjustRightInd w:val="0"/>
        <w:snapToGrid w:val="0"/>
        <w:spacing w:line="360" w:lineRule="auto"/>
        <w:ind w:firstLine="480" w:firstLineChars="200"/>
        <w:rPr>
          <w:rFonts w:eastAsia="仿宋" w:cs="仿宋"/>
          <w:color w:val="auto"/>
          <w:sz w:val="24"/>
          <w:lang w:bidi="ar"/>
        </w:rPr>
      </w:pPr>
      <w:r>
        <w:rPr>
          <w:rFonts w:hint="eastAsia" w:eastAsia="仿宋" w:cs="仿宋"/>
          <w:color w:val="auto"/>
          <w:sz w:val="24"/>
          <w:lang w:bidi="ar"/>
        </w:rPr>
        <w:t>2.项目地点：安徽省合肥市蜀山经济技术开发区电商园四期E座环境研究院</w:t>
      </w:r>
    </w:p>
    <w:p w14:paraId="0EDCCC8E">
      <w:pPr>
        <w:adjustRightInd w:val="0"/>
        <w:snapToGrid w:val="0"/>
        <w:spacing w:line="360" w:lineRule="auto"/>
        <w:ind w:firstLine="480" w:firstLineChars="200"/>
        <w:rPr>
          <w:rFonts w:eastAsia="仿宋" w:cs="仿宋"/>
          <w:color w:val="auto"/>
          <w:sz w:val="24"/>
          <w:lang w:bidi="ar"/>
        </w:rPr>
      </w:pPr>
      <w:r>
        <w:rPr>
          <w:rFonts w:hint="eastAsia" w:eastAsia="仿宋" w:cs="仿宋"/>
          <w:color w:val="auto"/>
          <w:sz w:val="24"/>
          <w:lang w:bidi="ar"/>
        </w:rPr>
        <w:t>3.项目单位：合肥综合性科学中心环境研究院</w:t>
      </w:r>
    </w:p>
    <w:p w14:paraId="47A01AE2">
      <w:pPr>
        <w:pStyle w:val="13"/>
        <w:ind w:left="0" w:leftChars="0" w:firstLine="480"/>
        <w:rPr>
          <w:rFonts w:eastAsia="仿宋" w:cs="仿宋"/>
          <w:color w:val="auto"/>
          <w:sz w:val="24"/>
          <w:lang w:bidi="ar"/>
        </w:rPr>
      </w:pPr>
      <w:r>
        <w:rPr>
          <w:rFonts w:hint="eastAsia" w:eastAsia="仿宋" w:cs="仿宋"/>
          <w:color w:val="auto"/>
          <w:sz w:val="24"/>
          <w:lang w:bidi="ar"/>
        </w:rPr>
        <w:t>4.预算金额：8万元。</w:t>
      </w:r>
    </w:p>
    <w:p w14:paraId="64342BE3">
      <w:pPr>
        <w:pStyle w:val="13"/>
        <w:ind w:left="0" w:leftChars="0" w:firstLine="480"/>
        <w:rPr>
          <w:rFonts w:eastAsia="仿宋" w:cs="仿宋"/>
          <w:color w:val="auto"/>
          <w:sz w:val="24"/>
          <w:lang w:bidi="ar"/>
        </w:rPr>
      </w:pPr>
      <w:r>
        <w:rPr>
          <w:rFonts w:hint="eastAsia" w:eastAsia="仿宋" w:cs="仿宋"/>
          <w:color w:val="auto"/>
          <w:sz w:val="24"/>
          <w:lang w:bidi="ar"/>
        </w:rPr>
        <w:t>5.最高限价：8万元。</w:t>
      </w:r>
    </w:p>
    <w:p w14:paraId="408490DC">
      <w:pPr>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6.采购需求：通过竞争性磋商方式确定1家供应商，</w:t>
      </w:r>
      <w:r>
        <w:rPr>
          <w:rFonts w:eastAsia="仿宋" w:cs="仿宋"/>
          <w:color w:val="auto"/>
          <w:sz w:val="24"/>
          <w:lang w:bidi="ar"/>
        </w:rPr>
        <w:t>为顺利完成</w:t>
      </w:r>
      <w:r>
        <w:rPr>
          <w:rFonts w:hint="eastAsia" w:eastAsia="仿宋" w:cs="仿宋"/>
          <w:color w:val="auto"/>
          <w:sz w:val="24"/>
          <w:lang w:bidi="ar"/>
        </w:rPr>
        <w:t>研究院分析测试中心</w:t>
      </w:r>
      <w:r>
        <w:rPr>
          <w:rFonts w:eastAsia="仿宋" w:cs="仿宋"/>
          <w:color w:val="auto"/>
          <w:sz w:val="24"/>
          <w:lang w:bidi="ar"/>
        </w:rPr>
        <w:t>CNAS实验室认可申报及现场评审工作，建立符合CNAS-CL01:2018准则要求的实验室质量管理体系，规范实验室人员、设备、环境、样品、方法、记录、报告及质量活动全过程管理，确保一次性通过CNAS现场评审并取得认可资质</w:t>
      </w:r>
      <w:r>
        <w:rPr>
          <w:rFonts w:hint="eastAsia" w:eastAsia="仿宋" w:cs="仿宋"/>
          <w:color w:val="auto"/>
          <w:sz w:val="24"/>
          <w:lang w:bidi="ar"/>
        </w:rPr>
        <w:t>。具体详见竞争性磋商文件。</w:t>
      </w:r>
    </w:p>
    <w:p w14:paraId="38B62941">
      <w:pPr>
        <w:adjustRightInd w:val="0"/>
        <w:snapToGrid w:val="0"/>
        <w:spacing w:line="360" w:lineRule="auto"/>
        <w:ind w:firstLine="480" w:firstLineChars="200"/>
        <w:rPr>
          <w:rFonts w:eastAsia="仿宋" w:cs="仿宋"/>
          <w:color w:val="auto"/>
          <w:sz w:val="24"/>
          <w:lang w:bidi="ar"/>
        </w:rPr>
      </w:pPr>
      <w:r>
        <w:rPr>
          <w:rFonts w:hint="eastAsia" w:eastAsia="仿宋" w:cs="仿宋"/>
          <w:color w:val="auto"/>
          <w:sz w:val="24"/>
          <w:lang w:bidi="ar"/>
        </w:rPr>
        <w:t>7.合同履行期限：</w:t>
      </w:r>
      <w:r>
        <w:rPr>
          <w:rFonts w:eastAsia="仿宋" w:cs="仿宋"/>
          <w:color w:val="auto"/>
          <w:sz w:val="24"/>
          <w:lang w:bidi="ar"/>
        </w:rPr>
        <w:t>自合同签订之日起，至顺利取得CNAS认可证书为止，包含后续评审整改、资料归档及质保期免费答疑指导服务。</w:t>
      </w:r>
    </w:p>
    <w:p w14:paraId="3F597A94">
      <w:pPr>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8.本项目</w:t>
      </w:r>
      <w:r>
        <w:rPr>
          <w:rFonts w:hint="eastAsia" w:ascii="仿宋" w:hAnsi="仿宋" w:eastAsia="仿宋" w:cs="仿宋"/>
          <w:color w:val="auto"/>
          <w:sz w:val="24"/>
          <w:lang w:bidi="ar"/>
        </w:rPr>
        <w:t>不接受联合</w:t>
      </w:r>
      <w:r>
        <w:rPr>
          <w:rFonts w:hint="eastAsia" w:eastAsia="仿宋" w:cs="仿宋"/>
          <w:color w:val="auto"/>
          <w:sz w:val="24"/>
          <w:lang w:bidi="ar"/>
        </w:rPr>
        <w:t>体。</w:t>
      </w:r>
      <w:bookmarkStart w:id="7" w:name="_Toc35393622"/>
      <w:bookmarkStart w:id="8" w:name="_Toc35393791"/>
      <w:bookmarkStart w:id="9" w:name="_Toc28359080"/>
      <w:bookmarkStart w:id="10" w:name="_Toc28359003"/>
    </w:p>
    <w:p w14:paraId="66C0630B">
      <w:pPr>
        <w:pStyle w:val="3"/>
        <w:keepNext w:val="0"/>
        <w:widowControl/>
        <w:adjustRightInd w:val="0"/>
        <w:snapToGrid w:val="0"/>
        <w:spacing w:before="62" w:beforeLines="20" w:after="62" w:afterLines="20" w:line="360" w:lineRule="auto"/>
        <w:ind w:firstLine="432" w:firstLineChars="180"/>
        <w:rPr>
          <w:rFonts w:ascii="Arial" w:hAnsi="宋体" w:eastAsia="黑体" w:cs="方正书宋简体"/>
          <w:b w:val="0"/>
          <w:bCs w:val="0"/>
          <w:color w:val="auto"/>
          <w:sz w:val="24"/>
          <w:szCs w:val="24"/>
        </w:rPr>
      </w:pPr>
      <w:r>
        <w:rPr>
          <w:rStyle w:val="19"/>
          <w:rFonts w:ascii="Arial" w:hAnsi="宋体" w:eastAsia="黑体" w:cs="黑体"/>
          <w:b w:val="0"/>
          <w:bCs w:val="0"/>
          <w:color w:val="auto"/>
          <w:sz w:val="24"/>
          <w:szCs w:val="24"/>
        </w:rPr>
        <w:t>二、申请人的资格要求：</w:t>
      </w:r>
      <w:bookmarkEnd w:id="7"/>
      <w:bookmarkEnd w:id="8"/>
      <w:bookmarkEnd w:id="9"/>
      <w:bookmarkEnd w:id="10"/>
    </w:p>
    <w:p w14:paraId="7DA490AF">
      <w:pPr>
        <w:adjustRightInd w:val="0"/>
        <w:snapToGrid w:val="0"/>
        <w:spacing w:line="360" w:lineRule="auto"/>
        <w:ind w:firstLine="480" w:firstLineChars="200"/>
        <w:rPr>
          <w:rFonts w:eastAsia="仿宋"/>
          <w:color w:val="auto"/>
          <w:sz w:val="24"/>
        </w:rPr>
      </w:pPr>
      <w:r>
        <w:rPr>
          <w:rFonts w:eastAsia="仿宋"/>
          <w:color w:val="auto"/>
          <w:sz w:val="24"/>
          <w:lang w:bidi="ar"/>
        </w:rPr>
        <w:t>1.</w:t>
      </w:r>
      <w:r>
        <w:rPr>
          <w:rFonts w:hint="eastAsia" w:eastAsia="仿宋" w:cs="仿宋"/>
          <w:color w:val="auto"/>
          <w:sz w:val="24"/>
          <w:lang w:bidi="ar"/>
        </w:rPr>
        <w:t>满足《中华人民共和国政府采购法》第二十二条规定；</w:t>
      </w:r>
    </w:p>
    <w:p w14:paraId="2D4F74CC">
      <w:pPr>
        <w:adjustRightInd w:val="0"/>
        <w:snapToGrid w:val="0"/>
        <w:spacing w:line="360" w:lineRule="auto"/>
        <w:ind w:firstLine="480" w:firstLineChars="200"/>
        <w:rPr>
          <w:rFonts w:hint="eastAsia" w:ascii="仿宋" w:hAnsi="仿宋" w:eastAsia="仿宋" w:cs="楷体"/>
          <w:color w:val="auto"/>
          <w:sz w:val="24"/>
        </w:rPr>
      </w:pPr>
      <w:bookmarkStart w:id="11" w:name="_Toc28359081"/>
      <w:bookmarkStart w:id="12" w:name="_Toc28359004"/>
      <w:r>
        <w:rPr>
          <w:rFonts w:eastAsia="仿宋"/>
          <w:color w:val="auto"/>
          <w:sz w:val="24"/>
          <w:lang w:bidi="ar"/>
        </w:rPr>
        <w:t>2.</w:t>
      </w:r>
      <w:r>
        <w:rPr>
          <w:rFonts w:hint="eastAsia" w:eastAsia="仿宋" w:cs="仿宋"/>
          <w:color w:val="auto"/>
          <w:sz w:val="24"/>
          <w:lang w:bidi="ar"/>
        </w:rPr>
        <w:t>落实政府采购政策需满足的资格要求：</w:t>
      </w:r>
      <w:bookmarkStart w:id="13" w:name="_Toc35393623"/>
      <w:bookmarkStart w:id="14" w:name="_Toc35393792"/>
      <w:r>
        <w:rPr>
          <w:rFonts w:hint="eastAsia" w:ascii="仿宋" w:hAnsi="仿宋" w:eastAsia="仿宋" w:cs="楷体"/>
          <w:color w:val="auto"/>
          <w:sz w:val="24"/>
          <w:lang w:bidi="ar"/>
        </w:rPr>
        <w:t>无；</w:t>
      </w:r>
    </w:p>
    <w:p w14:paraId="5C408D40">
      <w:pPr>
        <w:adjustRightInd w:val="0"/>
        <w:snapToGrid w:val="0"/>
        <w:spacing w:line="360" w:lineRule="auto"/>
        <w:ind w:firstLine="480" w:firstLineChars="200"/>
        <w:rPr>
          <w:rFonts w:eastAsia="仿宋" w:cs="Calibri"/>
          <w:color w:val="auto"/>
          <w:sz w:val="24"/>
        </w:rPr>
      </w:pPr>
      <w:r>
        <w:rPr>
          <w:rFonts w:eastAsia="仿宋" w:cs="Calibri"/>
          <w:color w:val="auto"/>
          <w:sz w:val="24"/>
          <w:lang w:bidi="ar"/>
        </w:rPr>
        <w:t>3.</w:t>
      </w:r>
      <w:r>
        <w:rPr>
          <w:rFonts w:hint="eastAsia" w:eastAsia="仿宋" w:cs="Calibri"/>
          <w:color w:val="auto"/>
          <w:sz w:val="24"/>
          <w:lang w:bidi="ar"/>
        </w:rPr>
        <w:t>本项目的特定资格要求：无；</w:t>
      </w:r>
    </w:p>
    <w:p w14:paraId="3377B39B">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4.单位负责人为同一人或者存在直接控股、管理关系的不同供应商，不得参加同一合同项下的采购活动；</w:t>
      </w:r>
    </w:p>
    <w:p w14:paraId="1232159B">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5.截至提交首次响应文件截止时间，供应商（不含其不具有独立法人资格的分支机构）存在下列有效情形之一的，其响应文件按无效处理。</w:t>
      </w:r>
    </w:p>
    <w:p w14:paraId="26739C0C">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（1）被人民法院列入失信被执行人名单的；</w:t>
      </w:r>
    </w:p>
    <w:p w14:paraId="3C364FCD">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（2）被税务机关列入重大税收违法失信主体的；</w:t>
      </w:r>
    </w:p>
    <w:p w14:paraId="0AA04457">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（3）被财政部门列入政府采购严重违法失信名单的；</w:t>
      </w:r>
    </w:p>
    <w:p w14:paraId="416A816A">
      <w:pPr>
        <w:adjustRightInd w:val="0"/>
        <w:spacing w:line="360" w:lineRule="auto"/>
        <w:ind w:firstLine="480" w:firstLineChars="200"/>
        <w:rPr>
          <w:rFonts w:hint="eastAsia" w:ascii="PMingLiU" w:hAnsi="PMingLiU" w:eastAsia="仿宋" w:cs="PMingLiU"/>
          <w:color w:val="auto"/>
          <w:sz w:val="24"/>
        </w:rPr>
      </w:pPr>
      <w:r>
        <w:rPr>
          <w:rFonts w:hint="eastAsia" w:ascii="仿宋" w:hAnsi="仿宋" w:eastAsia="仿宋" w:cs="仿宋"/>
          <w:color w:val="auto"/>
          <w:sz w:val="24"/>
          <w:lang w:bidi="ar"/>
        </w:rPr>
        <w:t>（4）被市场监督管理部门列入经营异常名录或者严重违法失信企业名单的（未按照《企业信息公示暂行条例》（国务院令第654号）第八条规定的期限公示年度报告被列入经营异常名录的除外）。</w:t>
      </w:r>
    </w:p>
    <w:p w14:paraId="2DF3A81C">
      <w:pPr>
        <w:pStyle w:val="3"/>
        <w:keepNext w:val="0"/>
        <w:widowControl/>
        <w:adjustRightInd w:val="0"/>
        <w:snapToGrid w:val="0"/>
        <w:spacing w:before="62" w:beforeLines="20" w:after="62" w:afterLines="20" w:line="360" w:lineRule="auto"/>
        <w:ind w:firstLine="480" w:firstLineChars="200"/>
        <w:rPr>
          <w:rFonts w:ascii="黑体" w:hAnsi="宋体" w:eastAsia="黑体" w:cs="黑体"/>
          <w:b w:val="0"/>
          <w:bCs w:val="0"/>
          <w:color w:val="auto"/>
          <w:sz w:val="24"/>
          <w:szCs w:val="24"/>
        </w:rPr>
      </w:pPr>
      <w:r>
        <w:rPr>
          <w:rStyle w:val="19"/>
          <w:rFonts w:ascii="黑体" w:hAnsi="宋体" w:eastAsia="黑体" w:cs="黑体"/>
          <w:b w:val="0"/>
          <w:bCs w:val="0"/>
          <w:color w:val="auto"/>
          <w:sz w:val="24"/>
          <w:szCs w:val="24"/>
        </w:rPr>
        <w:t>三、获取采购文件</w:t>
      </w:r>
      <w:bookmarkEnd w:id="11"/>
      <w:bookmarkEnd w:id="12"/>
      <w:bookmarkEnd w:id="13"/>
      <w:bookmarkEnd w:id="14"/>
    </w:p>
    <w:p w14:paraId="77850386">
      <w:pPr>
        <w:adjustRightInd w:val="0"/>
        <w:snapToGrid w:val="0"/>
        <w:spacing w:line="360" w:lineRule="auto"/>
        <w:ind w:firstLine="480" w:firstLineChars="200"/>
        <w:rPr>
          <w:rFonts w:hint="eastAsia" w:ascii="仿宋" w:hAnsi="仿宋" w:eastAsia="仿宋" w:cs="仿宋"/>
          <w:color w:val="auto"/>
          <w:sz w:val="24"/>
        </w:rPr>
      </w:pPr>
      <w:r>
        <w:rPr>
          <w:rFonts w:hint="eastAsia" w:eastAsia="仿宋" w:cs="Calibri"/>
          <w:color w:val="auto"/>
          <w:sz w:val="24"/>
          <w:lang w:bidi="ar"/>
        </w:rPr>
        <w:t>1.时间：2026年7月1</w:t>
      </w:r>
      <w:r>
        <w:rPr>
          <w:rFonts w:hint="eastAsia" w:eastAsia="仿宋" w:cs="Calibri"/>
          <w:color w:val="auto"/>
          <w:sz w:val="24"/>
          <w:lang w:val="en-US" w:eastAsia="zh-CN" w:bidi="ar"/>
        </w:rPr>
        <w:t>4</w:t>
      </w:r>
      <w:r>
        <w:rPr>
          <w:rFonts w:hint="eastAsia" w:eastAsia="仿宋" w:cs="Calibri"/>
          <w:color w:val="auto"/>
          <w:sz w:val="24"/>
          <w:lang w:bidi="ar"/>
        </w:rPr>
        <w:t>日至2026年7月</w:t>
      </w:r>
      <w:r>
        <w:rPr>
          <w:rFonts w:hint="eastAsia" w:eastAsia="仿宋" w:cs="Calibri"/>
          <w:color w:val="auto"/>
          <w:sz w:val="24"/>
          <w:lang w:val="en-US" w:eastAsia="zh-CN" w:bidi="ar"/>
        </w:rPr>
        <w:t>21</w:t>
      </w:r>
      <w:r>
        <w:rPr>
          <w:rFonts w:hint="eastAsia" w:eastAsia="仿宋" w:cs="Calibri"/>
          <w:color w:val="auto"/>
          <w:sz w:val="24"/>
          <w:lang w:bidi="ar"/>
        </w:rPr>
        <w:t>日</w:t>
      </w:r>
      <w:r>
        <w:rPr>
          <w:rFonts w:hint="eastAsia" w:ascii="仿宋" w:hAnsi="仿宋" w:eastAsia="仿宋" w:cs="仿宋"/>
          <w:color w:val="auto"/>
          <w:sz w:val="24"/>
          <w:lang w:bidi="ar"/>
        </w:rPr>
        <w:t>（北京时间）</w:t>
      </w:r>
    </w:p>
    <w:p w14:paraId="44E52537">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2.方式：电子邮件获取（供应商以电子邮件方式获取采购文件，提前与采购人联系，联系方式详见本章第五条。未事先得到同意而自行发邮箱的不予认可，视同采购文件获取不成功，其递交的响应文件无效）。</w:t>
      </w:r>
    </w:p>
    <w:p w14:paraId="25D17A6F">
      <w:pPr>
        <w:pStyle w:val="3"/>
        <w:keepNext w:val="0"/>
        <w:widowControl/>
        <w:adjustRightInd w:val="0"/>
        <w:snapToGrid w:val="0"/>
        <w:spacing w:before="62" w:beforeLines="20" w:after="62" w:afterLines="20" w:line="360" w:lineRule="auto"/>
        <w:ind w:firstLine="480" w:firstLineChars="200"/>
        <w:rPr>
          <w:rFonts w:ascii="黑体" w:hAnsi="宋体" w:eastAsia="黑体" w:cs="黑体"/>
          <w:b w:val="0"/>
          <w:bCs w:val="0"/>
          <w:color w:val="auto"/>
          <w:sz w:val="24"/>
          <w:szCs w:val="24"/>
        </w:rPr>
      </w:pPr>
      <w:bookmarkStart w:id="15" w:name="_Toc35393624"/>
      <w:bookmarkStart w:id="16" w:name="_Toc28359005"/>
      <w:bookmarkStart w:id="17" w:name="_Toc35393793"/>
      <w:bookmarkStart w:id="18" w:name="_Toc28359082"/>
      <w:r>
        <w:rPr>
          <w:rStyle w:val="19"/>
          <w:rFonts w:ascii="黑体" w:hAnsi="宋体" w:eastAsia="黑体" w:cs="黑体"/>
          <w:b w:val="0"/>
          <w:bCs w:val="0"/>
          <w:color w:val="auto"/>
          <w:sz w:val="24"/>
          <w:szCs w:val="24"/>
        </w:rPr>
        <w:t>四、</w:t>
      </w:r>
      <w:bookmarkEnd w:id="15"/>
      <w:bookmarkEnd w:id="16"/>
      <w:bookmarkEnd w:id="17"/>
      <w:bookmarkEnd w:id="18"/>
      <w:r>
        <w:rPr>
          <w:rStyle w:val="19"/>
          <w:rFonts w:ascii="黑体" w:hAnsi="宋体" w:eastAsia="黑体" w:cs="黑体"/>
          <w:b w:val="0"/>
          <w:bCs w:val="0"/>
          <w:color w:val="auto"/>
          <w:sz w:val="24"/>
          <w:szCs w:val="24"/>
        </w:rPr>
        <w:t>响应文件提交</w:t>
      </w:r>
    </w:p>
    <w:p w14:paraId="7052CACA">
      <w:pPr>
        <w:adjustRightInd w:val="0"/>
        <w:snapToGrid w:val="0"/>
        <w:spacing w:line="360" w:lineRule="auto"/>
        <w:ind w:firstLine="480" w:firstLineChars="200"/>
        <w:rPr>
          <w:rFonts w:hint="eastAsia" w:ascii="仿宋" w:hAnsi="仿宋" w:eastAsia="仿宋" w:cs="仿宋"/>
          <w:color w:val="auto"/>
          <w:sz w:val="24"/>
        </w:rPr>
      </w:pPr>
      <w:r>
        <w:rPr>
          <w:rFonts w:hint="eastAsia" w:eastAsia="仿宋" w:cs="仿宋"/>
          <w:bCs/>
          <w:color w:val="auto"/>
          <w:sz w:val="24"/>
          <w:lang w:bidi="ar"/>
        </w:rPr>
        <w:t>1.截止时间：</w:t>
      </w:r>
      <w:r>
        <w:rPr>
          <w:rFonts w:hint="eastAsia" w:eastAsia="仿宋"/>
          <w:bCs/>
          <w:color w:val="auto"/>
          <w:sz w:val="24"/>
          <w:lang w:bidi="ar"/>
        </w:rPr>
        <w:t>2026</w:t>
      </w:r>
      <w:r>
        <w:rPr>
          <w:rFonts w:hint="eastAsia" w:eastAsia="仿宋" w:cs="方正书宋简体"/>
          <w:bCs/>
          <w:color w:val="auto"/>
          <w:sz w:val="24"/>
          <w:lang w:bidi="ar"/>
        </w:rPr>
        <w:t>年7月</w:t>
      </w:r>
      <w:r>
        <w:rPr>
          <w:rFonts w:hint="eastAsia" w:eastAsia="仿宋" w:cs="方正书宋简体"/>
          <w:bCs/>
          <w:color w:val="auto"/>
          <w:sz w:val="24"/>
          <w:lang w:val="en-US" w:eastAsia="zh-CN" w:bidi="ar"/>
        </w:rPr>
        <w:t>27</w:t>
      </w:r>
      <w:r>
        <w:rPr>
          <w:rFonts w:hint="eastAsia" w:eastAsia="仿宋" w:cs="方正书宋简体"/>
          <w:bCs/>
          <w:color w:val="auto"/>
          <w:sz w:val="24"/>
          <w:lang w:bidi="ar"/>
        </w:rPr>
        <w:t>日9点</w:t>
      </w:r>
      <w:r>
        <w:rPr>
          <w:rFonts w:eastAsia="仿宋" w:cs="方正书宋简体"/>
          <w:bCs/>
          <w:color w:val="auto"/>
          <w:sz w:val="24"/>
          <w:lang w:bidi="ar"/>
        </w:rPr>
        <w:t>30</w:t>
      </w:r>
      <w:r>
        <w:rPr>
          <w:rFonts w:hint="eastAsia" w:eastAsia="仿宋" w:cs="方正书宋简体"/>
          <w:bCs/>
          <w:color w:val="auto"/>
          <w:sz w:val="24"/>
          <w:lang w:bidi="ar"/>
        </w:rPr>
        <w:t>分</w:t>
      </w:r>
      <w:r>
        <w:rPr>
          <w:rFonts w:hint="eastAsia" w:ascii="仿宋" w:hAnsi="仿宋" w:eastAsia="仿宋" w:cs="仿宋"/>
          <w:color w:val="auto"/>
          <w:sz w:val="24"/>
          <w:lang w:bidi="ar"/>
        </w:rPr>
        <w:t>（北京时间）</w:t>
      </w:r>
    </w:p>
    <w:p w14:paraId="333A98C0">
      <w:pPr>
        <w:adjustRightInd w:val="0"/>
        <w:snapToGrid w:val="0"/>
        <w:spacing w:line="360" w:lineRule="auto"/>
        <w:ind w:firstLine="480" w:firstLineChars="200"/>
        <w:rPr>
          <w:rFonts w:hint="eastAsia" w:ascii="仿宋" w:hAnsi="仿宋" w:eastAsia="仿宋" w:cs="仿宋"/>
          <w:color w:val="auto"/>
          <w:sz w:val="24"/>
          <w:lang w:bidi="ar"/>
        </w:rPr>
      </w:pPr>
      <w:r>
        <w:rPr>
          <w:rFonts w:hint="eastAsia" w:ascii="仿宋" w:hAnsi="仿宋" w:eastAsia="仿宋" w:cs="仿宋"/>
          <w:color w:val="auto"/>
          <w:sz w:val="24"/>
          <w:lang w:bidi="ar"/>
        </w:rPr>
        <w:t>2.递交份数：</w:t>
      </w:r>
      <w:r>
        <w:rPr>
          <w:rFonts w:hint="eastAsia" w:ascii="仿宋" w:hAnsi="仿宋" w:eastAsia="仿宋" w:cs="仿宋"/>
          <w:b/>
          <w:bCs/>
          <w:color w:val="auto"/>
          <w:sz w:val="24"/>
          <w:lang w:val="en-US" w:eastAsia="zh-CN" w:bidi="ar"/>
        </w:rPr>
        <w:t>纸质版</w:t>
      </w:r>
      <w:r>
        <w:rPr>
          <w:rFonts w:hint="eastAsia" w:ascii="仿宋" w:hAnsi="仿宋" w:eastAsia="仿宋" w:cs="仿宋"/>
          <w:b/>
          <w:bCs/>
          <w:color w:val="auto"/>
          <w:sz w:val="24"/>
          <w:lang w:bidi="ar"/>
        </w:rPr>
        <w:t>一</w:t>
      </w:r>
      <w:r>
        <w:rPr>
          <w:rFonts w:hint="eastAsia" w:ascii="仿宋" w:hAnsi="仿宋" w:eastAsia="仿宋" w:cs="仿宋"/>
          <w:b/>
          <w:bCs/>
          <w:color w:val="auto"/>
          <w:sz w:val="24"/>
          <w:lang w:val="en-US" w:eastAsia="zh-CN" w:bidi="ar"/>
        </w:rPr>
        <w:t>份</w:t>
      </w:r>
      <w:r>
        <w:rPr>
          <w:rFonts w:hint="eastAsia" w:ascii="仿宋" w:hAnsi="仿宋" w:eastAsia="仿宋" w:cs="仿宋"/>
          <w:color w:val="auto"/>
          <w:sz w:val="24"/>
          <w:lang w:bidi="ar"/>
        </w:rPr>
        <w:t>（请加盖单位公章并密封，包装封面注明单位名称、联系人、联系电话）、</w:t>
      </w:r>
      <w:r>
        <w:rPr>
          <w:rFonts w:hint="eastAsia" w:ascii="仿宋" w:hAnsi="仿宋" w:eastAsia="仿宋" w:cs="仿宋"/>
          <w:b/>
          <w:bCs/>
          <w:color w:val="auto"/>
          <w:sz w:val="24"/>
          <w:lang w:bidi="ar"/>
        </w:rPr>
        <w:t>电子版一份</w:t>
      </w:r>
      <w:r>
        <w:rPr>
          <w:rFonts w:hint="eastAsia" w:ascii="仿宋" w:hAnsi="仿宋" w:eastAsia="仿宋" w:cs="仿宋"/>
          <w:color w:val="auto"/>
          <w:sz w:val="24"/>
          <w:lang w:bidi="ar"/>
        </w:rPr>
        <w:t>（U盘，与纸质版保持一致）。</w:t>
      </w:r>
    </w:p>
    <w:p w14:paraId="6A02D0D8">
      <w:pPr>
        <w:adjustRightInd w:val="0"/>
        <w:snapToGrid w:val="0"/>
        <w:spacing w:line="360" w:lineRule="auto"/>
        <w:ind w:firstLine="480" w:firstLineChars="200"/>
        <w:rPr>
          <w:rFonts w:hint="eastAsia" w:ascii="仿宋" w:hAnsi="仿宋" w:eastAsia="仿宋" w:cs="仿宋"/>
          <w:color w:val="auto"/>
          <w:sz w:val="24"/>
          <w:lang w:bidi="ar"/>
        </w:rPr>
      </w:pPr>
      <w:r>
        <w:rPr>
          <w:rFonts w:hint="eastAsia" w:ascii="仿宋" w:hAnsi="仿宋" w:eastAsia="仿宋" w:cs="仿宋"/>
          <w:color w:val="auto"/>
          <w:sz w:val="24"/>
          <w:lang w:bidi="ar"/>
        </w:rPr>
        <w:t>3.竞争性磋商文件应装订成册，密封递交。</w:t>
      </w:r>
    </w:p>
    <w:p w14:paraId="0912D92C">
      <w:pPr>
        <w:adjustRightInd w:val="0"/>
        <w:snapToGrid w:val="0"/>
        <w:spacing w:line="360" w:lineRule="auto"/>
        <w:ind w:firstLine="480" w:firstLineChars="200"/>
        <w:rPr>
          <w:rFonts w:hint="eastAsia" w:ascii="仿宋" w:hAnsi="仿宋" w:eastAsia="仿宋" w:cs="仿宋"/>
          <w:color w:val="auto"/>
          <w:sz w:val="24"/>
          <w:lang w:bidi="ar"/>
        </w:rPr>
      </w:pPr>
      <w:r>
        <w:rPr>
          <w:rFonts w:hint="eastAsia" w:ascii="仿宋" w:hAnsi="仿宋" w:eastAsia="仿宋" w:cs="仿宋"/>
          <w:color w:val="auto"/>
          <w:sz w:val="24"/>
          <w:lang w:bidi="ar"/>
        </w:rPr>
        <w:t>4.递交地点：安徽省合肥市蜀山经济技术开发区电商园四期E座合肥综合性科学中心环境研究院5楼502室。</w:t>
      </w:r>
    </w:p>
    <w:p w14:paraId="33221346">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5.逾期送达的、或者未送达指定地点的响应文件，不予接收。</w:t>
      </w:r>
    </w:p>
    <w:p w14:paraId="3D4A374D">
      <w:pPr>
        <w:pStyle w:val="3"/>
        <w:keepNext w:val="0"/>
        <w:widowControl/>
        <w:adjustRightInd w:val="0"/>
        <w:snapToGrid w:val="0"/>
        <w:spacing w:before="62" w:beforeLines="20" w:after="62" w:afterLines="20" w:line="360" w:lineRule="auto"/>
        <w:ind w:firstLine="480" w:firstLineChars="200"/>
        <w:rPr>
          <w:rFonts w:ascii="黑体" w:hAnsi="宋体" w:eastAsia="黑体" w:cs="黑体"/>
          <w:b w:val="0"/>
          <w:bCs w:val="0"/>
          <w:color w:val="auto"/>
          <w:sz w:val="24"/>
          <w:szCs w:val="24"/>
        </w:rPr>
      </w:pPr>
      <w:bookmarkStart w:id="19" w:name="_Toc28359007"/>
      <w:bookmarkStart w:id="20" w:name="_Toc35393625"/>
      <w:bookmarkStart w:id="21" w:name="_Toc35393794"/>
      <w:bookmarkStart w:id="22" w:name="_Toc28359084"/>
      <w:r>
        <w:rPr>
          <w:rStyle w:val="19"/>
          <w:rFonts w:ascii="黑体" w:hAnsi="宋体" w:eastAsia="黑体" w:cs="黑体"/>
          <w:b w:val="0"/>
          <w:bCs w:val="0"/>
          <w:color w:val="auto"/>
          <w:sz w:val="24"/>
          <w:szCs w:val="24"/>
        </w:rPr>
        <w:t>五、</w:t>
      </w:r>
      <w:bookmarkEnd w:id="19"/>
      <w:bookmarkEnd w:id="20"/>
      <w:bookmarkEnd w:id="21"/>
      <w:bookmarkEnd w:id="22"/>
      <w:bookmarkStart w:id="23" w:name="_Toc28359008"/>
      <w:bookmarkStart w:id="24" w:name="_Toc35393796"/>
      <w:bookmarkStart w:id="25" w:name="_Toc35393627"/>
      <w:bookmarkStart w:id="26" w:name="_Toc28359085"/>
      <w:r>
        <w:rPr>
          <w:rStyle w:val="19"/>
          <w:rFonts w:ascii="黑体" w:hAnsi="宋体" w:eastAsia="黑体" w:cs="黑体"/>
          <w:b w:val="0"/>
          <w:bCs w:val="0"/>
          <w:color w:val="auto"/>
          <w:sz w:val="24"/>
          <w:szCs w:val="24"/>
        </w:rPr>
        <w:t>联系</w:t>
      </w:r>
      <w:bookmarkEnd w:id="23"/>
      <w:bookmarkEnd w:id="24"/>
      <w:bookmarkEnd w:id="25"/>
      <w:bookmarkEnd w:id="26"/>
      <w:r>
        <w:rPr>
          <w:rStyle w:val="19"/>
          <w:rFonts w:ascii="黑体" w:hAnsi="宋体" w:eastAsia="黑体" w:cs="黑体"/>
          <w:b w:val="0"/>
          <w:bCs w:val="0"/>
          <w:color w:val="auto"/>
          <w:sz w:val="24"/>
          <w:szCs w:val="24"/>
        </w:rPr>
        <w:t>方式</w:t>
      </w:r>
    </w:p>
    <w:p w14:paraId="63385AC4">
      <w:pPr>
        <w:widowControl/>
        <w:adjustRightInd w:val="0"/>
        <w:snapToGrid w:val="0"/>
        <w:spacing w:line="360" w:lineRule="auto"/>
        <w:ind w:firstLine="480" w:firstLineChars="200"/>
        <w:jc w:val="left"/>
        <w:rPr>
          <w:rFonts w:eastAsia="仿宋"/>
          <w:color w:val="auto"/>
          <w:sz w:val="24"/>
        </w:rPr>
      </w:pPr>
      <w:r>
        <w:rPr>
          <w:rFonts w:eastAsia="仿宋" w:cs="Calibri"/>
          <w:color w:val="auto"/>
          <w:sz w:val="24"/>
          <w:lang w:bidi="ar"/>
        </w:rPr>
        <w:t>1.</w:t>
      </w:r>
      <w:r>
        <w:rPr>
          <w:rFonts w:hint="eastAsia" w:eastAsia="仿宋" w:cs="Calibri"/>
          <w:color w:val="auto"/>
          <w:sz w:val="24"/>
          <w:lang w:bidi="ar"/>
        </w:rPr>
        <w:t>采购人信息</w:t>
      </w:r>
    </w:p>
    <w:p w14:paraId="03FEEA39">
      <w:pPr>
        <w:widowControl/>
        <w:adjustRightInd w:val="0"/>
        <w:snapToGrid w:val="0"/>
        <w:spacing w:line="360" w:lineRule="auto"/>
        <w:ind w:firstLine="480" w:firstLineChars="200"/>
        <w:jc w:val="left"/>
        <w:rPr>
          <w:rFonts w:eastAsia="仿宋"/>
          <w:color w:val="auto"/>
          <w:sz w:val="24"/>
        </w:rPr>
      </w:pPr>
      <w:r>
        <w:rPr>
          <w:rFonts w:hint="eastAsia" w:eastAsia="仿宋" w:cs="Calibri"/>
          <w:color w:val="auto"/>
          <w:sz w:val="24"/>
          <w:lang w:bidi="ar"/>
        </w:rPr>
        <w:t>名称：</w:t>
      </w:r>
      <w:r>
        <w:rPr>
          <w:rFonts w:hint="eastAsia" w:eastAsia="仿宋" w:cs="仿宋"/>
          <w:color w:val="auto"/>
          <w:sz w:val="24"/>
          <w:lang w:bidi="ar"/>
        </w:rPr>
        <w:t>合肥综合性科学中心环境研究院</w:t>
      </w:r>
    </w:p>
    <w:p w14:paraId="656C3817">
      <w:pPr>
        <w:widowControl/>
        <w:adjustRightInd w:val="0"/>
        <w:snapToGrid w:val="0"/>
        <w:spacing w:line="360" w:lineRule="auto"/>
        <w:ind w:firstLine="480" w:firstLineChars="200"/>
        <w:jc w:val="left"/>
        <w:rPr>
          <w:rFonts w:eastAsia="仿宋"/>
          <w:color w:val="auto"/>
          <w:sz w:val="24"/>
        </w:rPr>
      </w:pPr>
      <w:r>
        <w:rPr>
          <w:rFonts w:hint="eastAsia" w:eastAsia="仿宋" w:cs="Calibri"/>
          <w:color w:val="auto"/>
          <w:sz w:val="24"/>
          <w:lang w:bidi="ar"/>
        </w:rPr>
        <w:t>地址：</w:t>
      </w:r>
      <w:r>
        <w:rPr>
          <w:rFonts w:hint="eastAsia" w:eastAsia="仿宋" w:cs="仿宋"/>
          <w:color w:val="auto"/>
          <w:sz w:val="24"/>
          <w:lang w:bidi="ar"/>
        </w:rPr>
        <w:t>合肥蜀山经济技术开发区电商园四期</w:t>
      </w:r>
      <w:r>
        <w:rPr>
          <w:rFonts w:eastAsia="仿宋"/>
          <w:color w:val="auto"/>
          <w:sz w:val="24"/>
          <w:lang w:bidi="ar"/>
        </w:rPr>
        <w:t>E</w:t>
      </w:r>
      <w:r>
        <w:rPr>
          <w:rFonts w:hint="eastAsia" w:eastAsia="仿宋" w:cs="仿宋"/>
          <w:color w:val="auto"/>
          <w:sz w:val="24"/>
          <w:lang w:bidi="ar"/>
        </w:rPr>
        <w:t>栋</w:t>
      </w:r>
    </w:p>
    <w:p w14:paraId="03B0AAB8">
      <w:pPr>
        <w:widowControl/>
        <w:adjustRightInd w:val="0"/>
        <w:snapToGrid w:val="0"/>
        <w:spacing w:line="360" w:lineRule="auto"/>
        <w:ind w:firstLine="480" w:firstLineChars="200"/>
        <w:jc w:val="left"/>
        <w:rPr>
          <w:rFonts w:eastAsia="仿宋"/>
          <w:color w:val="auto"/>
          <w:sz w:val="24"/>
        </w:rPr>
      </w:pPr>
      <w:r>
        <w:rPr>
          <w:rFonts w:hint="eastAsia" w:ascii="Times New Roman" w:hAnsi="Times New Roman" w:eastAsia="仿宋" w:cs="仿宋"/>
          <w:color w:val="auto"/>
          <w:sz w:val="24"/>
          <w:lang w:bidi="ar"/>
        </w:rPr>
        <w:t>联系方式：</w:t>
      </w:r>
      <w:bookmarkStart w:id="27" w:name="_Toc28359086"/>
      <w:bookmarkStart w:id="28" w:name="_Toc28359009"/>
      <w:r>
        <w:rPr>
          <w:rFonts w:hint="eastAsia" w:ascii="Times New Roman" w:hAnsi="Times New Roman" w:eastAsia="仿宋" w:cs="仿宋"/>
          <w:color w:val="auto"/>
          <w:sz w:val="24"/>
          <w:lang w:bidi="ar"/>
        </w:rPr>
        <w:t>0551-62936718</w:t>
      </w:r>
    </w:p>
    <w:bookmarkEnd w:id="27"/>
    <w:bookmarkEnd w:id="28"/>
    <w:p w14:paraId="2B91F896">
      <w:pPr>
        <w:widowControl/>
        <w:adjustRightInd w:val="0"/>
        <w:snapToGrid w:val="0"/>
        <w:spacing w:line="360" w:lineRule="auto"/>
        <w:ind w:firstLine="480" w:firstLineChars="200"/>
        <w:jc w:val="left"/>
        <w:rPr>
          <w:rFonts w:eastAsia="仿宋"/>
          <w:color w:val="auto"/>
          <w:sz w:val="24"/>
        </w:rPr>
      </w:pPr>
      <w:bookmarkStart w:id="29" w:name="_Toc28359087"/>
      <w:bookmarkStart w:id="30" w:name="_Toc28359010"/>
      <w:r>
        <w:rPr>
          <w:rFonts w:hint="eastAsia" w:ascii="Times New Roman" w:hAnsi="Times New Roman" w:eastAsia="仿宋"/>
          <w:color w:val="auto"/>
          <w:sz w:val="24"/>
          <w:lang w:bidi="ar"/>
        </w:rPr>
        <w:t>2</w:t>
      </w:r>
      <w:r>
        <w:rPr>
          <w:rFonts w:ascii="Times New Roman" w:hAnsi="Times New Roman" w:eastAsia="仿宋"/>
          <w:color w:val="auto"/>
          <w:sz w:val="24"/>
          <w:lang w:bidi="ar"/>
        </w:rPr>
        <w:t>.</w:t>
      </w:r>
      <w:r>
        <w:rPr>
          <w:rFonts w:hint="eastAsia" w:ascii="Times New Roman" w:hAnsi="Times New Roman" w:eastAsia="仿宋" w:cs="仿宋"/>
          <w:color w:val="auto"/>
          <w:sz w:val="24"/>
          <w:lang w:bidi="ar"/>
        </w:rPr>
        <w:t>项目联系方式</w:t>
      </w:r>
      <w:bookmarkEnd w:id="29"/>
      <w:bookmarkEnd w:id="30"/>
    </w:p>
    <w:p w14:paraId="19FA5E9F">
      <w:pPr>
        <w:pStyle w:val="9"/>
        <w:widowControl/>
        <w:adjustRightInd w:val="0"/>
        <w:snapToGrid w:val="0"/>
        <w:spacing w:line="360" w:lineRule="auto"/>
        <w:ind w:firstLine="480" w:firstLineChars="200"/>
        <w:rPr>
          <w:rFonts w:hint="default" w:ascii="Times New Roman" w:hAnsi="Times New Roman" w:eastAsia="仿宋"/>
          <w:color w:val="auto"/>
          <w:sz w:val="24"/>
          <w:szCs w:val="24"/>
        </w:rPr>
      </w:pPr>
      <w:r>
        <w:rPr>
          <w:rFonts w:ascii="Times New Roman" w:hAnsi="Times New Roman" w:eastAsia="仿宋" w:cs="仿宋"/>
          <w:color w:val="auto"/>
          <w:sz w:val="24"/>
          <w:szCs w:val="24"/>
        </w:rPr>
        <w:t>项目联系人：张老师</w:t>
      </w:r>
    </w:p>
    <w:p w14:paraId="350CC238">
      <w:pPr>
        <w:pStyle w:val="9"/>
        <w:widowControl/>
        <w:adjustRightInd w:val="0"/>
        <w:snapToGrid w:val="0"/>
        <w:spacing w:line="360" w:lineRule="auto"/>
        <w:ind w:firstLine="480" w:firstLineChars="200"/>
        <w:rPr>
          <w:rFonts w:hint="default" w:hAnsi="Calibri" w:eastAsia="仿宋"/>
          <w:color w:val="auto"/>
          <w:sz w:val="24"/>
          <w:szCs w:val="24"/>
        </w:rPr>
      </w:pPr>
      <w:r>
        <w:rPr>
          <w:rFonts w:ascii="Times New Roman" w:hAnsi="Times New Roman" w:eastAsia="仿宋" w:cs="仿宋"/>
          <w:color w:val="auto"/>
          <w:sz w:val="24"/>
          <w:szCs w:val="24"/>
        </w:rPr>
        <w:t>联系电话：</w:t>
      </w:r>
      <w:r>
        <w:rPr>
          <w:rFonts w:ascii="Times New Roman" w:hAnsi="Times New Roman" w:eastAsia="仿宋"/>
          <w:color w:val="auto"/>
          <w:sz w:val="24"/>
          <w:szCs w:val="24"/>
        </w:rPr>
        <w:t>15055103026</w:t>
      </w:r>
    </w:p>
    <w:p w14:paraId="4583AA9F">
      <w:pPr>
        <w:pStyle w:val="9"/>
        <w:widowControl/>
        <w:adjustRightInd w:val="0"/>
        <w:snapToGrid w:val="0"/>
        <w:spacing w:line="360" w:lineRule="auto"/>
        <w:ind w:firstLine="480" w:firstLineChars="200"/>
        <w:rPr>
          <w:rFonts w:hint="default" w:ascii="Times New Roman" w:hAnsi="Times New Roman" w:eastAsia="仿宋" w:cs="仿宋"/>
          <w:color w:val="auto"/>
          <w:sz w:val="24"/>
          <w:szCs w:val="24"/>
        </w:rPr>
      </w:pPr>
      <w:r>
        <w:rPr>
          <w:rFonts w:ascii="Times New Roman" w:hAnsi="Times New Roman" w:eastAsia="仿宋" w:cs="仿宋"/>
          <w:color w:val="auto"/>
          <w:sz w:val="24"/>
          <w:szCs w:val="24"/>
        </w:rPr>
        <w:t>邮箱：zchenggong@hfioe.cn</w:t>
      </w:r>
    </w:p>
    <w:p w14:paraId="67356C27">
      <w:pPr>
        <w:rPr>
          <w:rFonts w:eastAsia="楷体"/>
          <w:color w:val="auto"/>
          <w:sz w:val="24"/>
          <w:lang w:bidi="ar"/>
        </w:rPr>
      </w:pPr>
    </w:p>
    <w:p w14:paraId="0782FE92">
      <w:pPr>
        <w:pStyle w:val="6"/>
        <w:rPr>
          <w:color w:val="auto"/>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476CD7D1">
      <w:pPr>
        <w:widowControl/>
        <w:tabs>
          <w:tab w:val="left" w:pos="360"/>
        </w:tabs>
        <w:spacing w:line="360" w:lineRule="auto"/>
        <w:rPr>
          <w:rFonts w:eastAsia="仿宋"/>
          <w:color w:val="auto"/>
          <w:sz w:val="28"/>
          <w:szCs w:val="28"/>
        </w:rPr>
      </w:pPr>
    </w:p>
    <w:p w14:paraId="35A05048">
      <w:pPr>
        <w:pStyle w:val="2"/>
        <w:keepNext w:val="0"/>
        <w:widowControl/>
        <w:spacing w:before="0" w:after="0" w:line="240" w:lineRule="auto"/>
        <w:jc w:val="center"/>
        <w:rPr>
          <w:rFonts w:ascii="Calibri" w:hAnsi="Calibri" w:eastAsia="仿宋"/>
          <w:color w:val="auto"/>
        </w:rPr>
      </w:pPr>
      <w:bookmarkStart w:id="31" w:name="_Toc756"/>
      <w:bookmarkStart w:id="32" w:name="_Toc241459614"/>
      <w:bookmarkStart w:id="33" w:name="_Toc466024497"/>
      <w:bookmarkStart w:id="34" w:name="_Toc445554685"/>
      <w:bookmarkStart w:id="35" w:name="_Toc342296160"/>
      <w:bookmarkStart w:id="36" w:name="_Toc333587477"/>
      <w:bookmarkStart w:id="37" w:name="_Toc342297617"/>
      <w:bookmarkStart w:id="38" w:name="_Toc371415919"/>
      <w:r>
        <w:rPr>
          <w:rFonts w:hint="eastAsia" w:ascii="Calibri" w:hAnsi="Calibri" w:eastAsia="仿宋" w:cs="仿宋"/>
          <w:color w:val="auto"/>
        </w:rPr>
        <w:t>第二章</w:t>
      </w:r>
      <w:r>
        <w:rPr>
          <w:rFonts w:ascii="Calibri" w:hAnsi="Calibri" w:eastAsia="仿宋"/>
          <w:color w:val="auto"/>
        </w:rPr>
        <w:t xml:space="preserve">  </w:t>
      </w:r>
      <w:r>
        <w:rPr>
          <w:rFonts w:hint="eastAsia" w:ascii="Calibri" w:hAnsi="Calibri" w:eastAsia="仿宋" w:cs="仿宋"/>
          <w:color w:val="auto"/>
        </w:rPr>
        <w:t>供应商须知</w:t>
      </w:r>
      <w:bookmarkEnd w:id="31"/>
      <w:bookmarkEnd w:id="32"/>
      <w:bookmarkEnd w:id="33"/>
      <w:bookmarkEnd w:id="34"/>
    </w:p>
    <w:p w14:paraId="6234AE73">
      <w:pPr>
        <w:pStyle w:val="3"/>
        <w:keepNext w:val="0"/>
        <w:widowControl/>
        <w:spacing w:before="120" w:after="120" w:line="240" w:lineRule="auto"/>
        <w:jc w:val="center"/>
        <w:rPr>
          <w:rFonts w:hint="default" w:ascii="Cambria" w:hAnsi="Cambria" w:eastAsia="仿宋" w:cs="Cambria"/>
          <w:bCs w:val="0"/>
          <w:color w:val="auto"/>
          <w:sz w:val="28"/>
          <w:szCs w:val="28"/>
        </w:rPr>
      </w:pPr>
      <w:bookmarkStart w:id="39" w:name="_Toc466024498"/>
      <w:bookmarkStart w:id="40" w:name="_Toc445554686"/>
      <w:r>
        <w:rPr>
          <w:rStyle w:val="19"/>
          <w:rFonts w:ascii="Cambria" w:hAnsi="Cambria" w:eastAsia="仿宋" w:cs="仿宋"/>
          <w:b/>
          <w:bCs w:val="0"/>
          <w:color w:val="auto"/>
          <w:sz w:val="28"/>
          <w:szCs w:val="28"/>
        </w:rPr>
        <w:t>供应商须知前附表</w:t>
      </w:r>
      <w:bookmarkEnd w:id="39"/>
      <w:bookmarkEnd w:id="40"/>
    </w:p>
    <w:p w14:paraId="1A1558E2">
      <w:pPr>
        <w:widowControl/>
        <w:adjustRightInd w:val="0"/>
        <w:snapToGrid w:val="0"/>
        <w:spacing w:before="312" w:beforeLines="100" w:after="156" w:afterLines="50" w:line="360" w:lineRule="auto"/>
        <w:ind w:firstLine="482" w:firstLineChars="200"/>
        <w:rPr>
          <w:color w:val="auto"/>
        </w:rPr>
      </w:pPr>
      <w:r>
        <w:rPr>
          <w:rFonts w:hint="eastAsia" w:ascii="宋体" w:hAnsi="宋体" w:eastAsia="仿宋" w:cs="仿宋"/>
          <w:b/>
          <w:bCs/>
          <w:color w:val="auto"/>
          <w:sz w:val="24"/>
          <w:lang w:bidi="ar"/>
        </w:rPr>
        <w:t>本《供应商须知前附表》是对本章《供应商须知》的具体补充和修改，如有不一致，以本《供应商须知前附表》为准。</w:t>
      </w:r>
    </w:p>
    <w:tbl>
      <w:tblPr>
        <w:tblStyle w:val="14"/>
        <w:tblW w:w="9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2518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tcBorders>
              <w:top w:val="single" w:color="auto" w:sz="4" w:space="0"/>
              <w:left w:val="single" w:color="auto" w:sz="4" w:space="0"/>
              <w:bottom w:val="single" w:color="auto" w:sz="4" w:space="0"/>
              <w:right w:val="single" w:color="auto" w:sz="4" w:space="0"/>
            </w:tcBorders>
            <w:vAlign w:val="center"/>
          </w:tcPr>
          <w:p w14:paraId="3FFF872E">
            <w:pPr>
              <w:widowControl/>
              <w:adjustRightInd w:val="0"/>
              <w:snapToGrid w:val="0"/>
              <w:spacing w:line="288" w:lineRule="auto"/>
              <w:jc w:val="center"/>
              <w:rPr>
                <w:rFonts w:cs="方正小标宋简体"/>
                <w:b/>
                <w:color w:val="auto"/>
                <w:sz w:val="24"/>
              </w:rPr>
            </w:pPr>
            <w:r>
              <w:rPr>
                <w:rFonts w:hint="eastAsia" w:eastAsia="仿宋" w:cs="方正小标宋简体"/>
                <w:b/>
                <w:color w:val="auto"/>
                <w:sz w:val="24"/>
              </w:rPr>
              <w:t>条款号</w:t>
            </w:r>
          </w:p>
        </w:tc>
        <w:tc>
          <w:tcPr>
            <w:tcW w:w="1581" w:type="dxa"/>
            <w:tcBorders>
              <w:top w:val="single" w:color="auto" w:sz="4" w:space="0"/>
              <w:left w:val="single" w:color="auto" w:sz="4" w:space="0"/>
              <w:bottom w:val="single" w:color="auto" w:sz="4" w:space="0"/>
              <w:right w:val="single" w:color="auto" w:sz="4" w:space="0"/>
            </w:tcBorders>
            <w:vAlign w:val="center"/>
          </w:tcPr>
          <w:p w14:paraId="48F1C893">
            <w:pPr>
              <w:widowControl/>
              <w:adjustRightInd w:val="0"/>
              <w:snapToGrid w:val="0"/>
              <w:spacing w:line="288" w:lineRule="auto"/>
              <w:jc w:val="center"/>
              <w:rPr>
                <w:rFonts w:cs="方正小标宋简体"/>
                <w:b/>
                <w:color w:val="auto"/>
                <w:sz w:val="24"/>
              </w:rPr>
            </w:pPr>
            <w:r>
              <w:rPr>
                <w:rFonts w:hint="eastAsia" w:eastAsia="仿宋" w:cs="方正小标宋简体"/>
                <w:b/>
                <w:color w:val="auto"/>
                <w:sz w:val="24"/>
              </w:rPr>
              <w:t>条款名称</w:t>
            </w:r>
          </w:p>
        </w:tc>
        <w:tc>
          <w:tcPr>
            <w:tcW w:w="7229" w:type="dxa"/>
            <w:tcBorders>
              <w:top w:val="single" w:color="auto" w:sz="4" w:space="0"/>
              <w:left w:val="single" w:color="auto" w:sz="4" w:space="0"/>
              <w:bottom w:val="single" w:color="auto" w:sz="4" w:space="0"/>
              <w:right w:val="single" w:color="auto" w:sz="4" w:space="0"/>
            </w:tcBorders>
            <w:vAlign w:val="center"/>
          </w:tcPr>
          <w:p w14:paraId="7EA89992">
            <w:pPr>
              <w:widowControl/>
              <w:adjustRightInd w:val="0"/>
              <w:snapToGrid w:val="0"/>
              <w:spacing w:line="288" w:lineRule="auto"/>
              <w:jc w:val="center"/>
              <w:rPr>
                <w:rFonts w:cs="方正小标宋简体"/>
                <w:b/>
                <w:color w:val="auto"/>
                <w:sz w:val="24"/>
              </w:rPr>
            </w:pPr>
            <w:r>
              <w:rPr>
                <w:rFonts w:hint="eastAsia" w:eastAsia="仿宋" w:cs="方正小标宋简体"/>
                <w:b/>
                <w:color w:val="auto"/>
                <w:sz w:val="24"/>
              </w:rPr>
              <w:t>编</w:t>
            </w:r>
            <w:r>
              <w:rPr>
                <w:rFonts w:eastAsia="仿宋" w:cs="方正小标宋简体"/>
                <w:b/>
                <w:color w:val="auto"/>
                <w:sz w:val="24"/>
              </w:rPr>
              <w:t xml:space="preserve">  </w:t>
            </w:r>
            <w:r>
              <w:rPr>
                <w:rFonts w:hint="eastAsia" w:eastAsia="仿宋" w:cs="方正小标宋简体"/>
                <w:b/>
                <w:color w:val="auto"/>
                <w:sz w:val="24"/>
              </w:rPr>
              <w:t>列</w:t>
            </w:r>
            <w:r>
              <w:rPr>
                <w:rFonts w:eastAsia="仿宋" w:cs="方正小标宋简体"/>
                <w:b/>
                <w:color w:val="auto"/>
                <w:sz w:val="24"/>
              </w:rPr>
              <w:t xml:space="preserve">  </w:t>
            </w:r>
            <w:r>
              <w:rPr>
                <w:rFonts w:hint="eastAsia" w:eastAsia="仿宋" w:cs="方正小标宋简体"/>
                <w:b/>
                <w:color w:val="auto"/>
                <w:sz w:val="24"/>
              </w:rPr>
              <w:t>内</w:t>
            </w:r>
            <w:r>
              <w:rPr>
                <w:rFonts w:eastAsia="仿宋" w:cs="方正小标宋简体"/>
                <w:b/>
                <w:color w:val="auto"/>
                <w:sz w:val="24"/>
              </w:rPr>
              <w:t xml:space="preserve">  </w:t>
            </w:r>
            <w:r>
              <w:rPr>
                <w:rFonts w:hint="eastAsia" w:eastAsia="仿宋" w:cs="方正小标宋简体"/>
                <w:b/>
                <w:color w:val="auto"/>
                <w:sz w:val="24"/>
              </w:rPr>
              <w:t>容</w:t>
            </w:r>
          </w:p>
        </w:tc>
      </w:tr>
      <w:tr w14:paraId="1165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38B340B8">
            <w:pPr>
              <w:widowControl/>
              <w:adjustRightInd w:val="0"/>
              <w:snapToGrid w:val="0"/>
              <w:spacing w:line="288" w:lineRule="auto"/>
              <w:jc w:val="center"/>
              <w:rPr>
                <w:rFonts w:cs="方正小标宋简体"/>
                <w:color w:val="auto"/>
                <w:sz w:val="24"/>
              </w:rPr>
            </w:pPr>
            <w:r>
              <w:rPr>
                <w:rFonts w:eastAsia="仿宋" w:cs="方正小标宋简体"/>
                <w:color w:val="auto"/>
                <w:sz w:val="24"/>
              </w:rPr>
              <w:t>1.1.2</w:t>
            </w:r>
          </w:p>
        </w:tc>
        <w:tc>
          <w:tcPr>
            <w:tcW w:w="1581" w:type="dxa"/>
            <w:tcBorders>
              <w:top w:val="single" w:color="auto" w:sz="4" w:space="0"/>
              <w:left w:val="single" w:color="auto" w:sz="4" w:space="0"/>
              <w:bottom w:val="single" w:color="auto" w:sz="4" w:space="0"/>
              <w:right w:val="single" w:color="auto" w:sz="4" w:space="0"/>
            </w:tcBorders>
            <w:vAlign w:val="center"/>
          </w:tcPr>
          <w:p w14:paraId="4FC6A603">
            <w:pPr>
              <w:adjustRightInd w:val="0"/>
              <w:snapToGrid w:val="0"/>
              <w:spacing w:line="288" w:lineRule="auto"/>
              <w:jc w:val="center"/>
              <w:rPr>
                <w:color w:val="auto"/>
                <w:sz w:val="24"/>
              </w:rPr>
            </w:pPr>
            <w:r>
              <w:rPr>
                <w:rFonts w:hint="eastAsia" w:eastAsia="仿宋" w:cs="仿宋"/>
                <w:color w:val="auto"/>
                <w:sz w:val="24"/>
              </w:rPr>
              <w:t>采购人</w:t>
            </w:r>
          </w:p>
        </w:tc>
        <w:tc>
          <w:tcPr>
            <w:tcW w:w="7229" w:type="dxa"/>
            <w:tcBorders>
              <w:top w:val="single" w:color="auto" w:sz="4" w:space="0"/>
              <w:left w:val="single" w:color="auto" w:sz="4" w:space="0"/>
              <w:bottom w:val="single" w:color="auto" w:sz="4" w:space="0"/>
              <w:right w:val="single" w:color="auto" w:sz="4" w:space="0"/>
            </w:tcBorders>
            <w:vAlign w:val="center"/>
          </w:tcPr>
          <w:p w14:paraId="12DBB2C2">
            <w:pPr>
              <w:widowControl/>
              <w:adjustRightInd w:val="0"/>
              <w:snapToGrid w:val="0"/>
              <w:spacing w:line="288" w:lineRule="auto"/>
              <w:jc w:val="left"/>
              <w:rPr>
                <w:rFonts w:cs="方正小标宋简体"/>
                <w:color w:val="auto"/>
                <w:sz w:val="24"/>
              </w:rPr>
            </w:pPr>
            <w:r>
              <w:rPr>
                <w:rFonts w:hint="eastAsia" w:eastAsia="仿宋" w:cs="方正小标宋简体"/>
                <w:color w:val="auto"/>
                <w:sz w:val="24"/>
              </w:rPr>
              <w:t>见竞争性磋商公告</w:t>
            </w:r>
          </w:p>
        </w:tc>
      </w:tr>
      <w:tr w14:paraId="4342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EAC70F8">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1.1.</w:t>
            </w:r>
            <w:r>
              <w:rPr>
                <w:rFonts w:hint="eastAsia" w:eastAsia="仿宋" w:cs="方正小标宋简体"/>
                <w:color w:val="auto"/>
                <w:sz w:val="24"/>
              </w:rPr>
              <w:t>3</w:t>
            </w:r>
          </w:p>
        </w:tc>
        <w:tc>
          <w:tcPr>
            <w:tcW w:w="1581" w:type="dxa"/>
            <w:tcBorders>
              <w:top w:val="single" w:color="auto" w:sz="4" w:space="0"/>
              <w:left w:val="single" w:color="auto" w:sz="4" w:space="0"/>
              <w:bottom w:val="single" w:color="auto" w:sz="4" w:space="0"/>
              <w:right w:val="single" w:color="auto" w:sz="4" w:space="0"/>
            </w:tcBorders>
            <w:vAlign w:val="center"/>
          </w:tcPr>
          <w:p w14:paraId="3876D2BB">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采购项目名称</w:t>
            </w:r>
          </w:p>
        </w:tc>
        <w:tc>
          <w:tcPr>
            <w:tcW w:w="7229" w:type="dxa"/>
            <w:tcBorders>
              <w:top w:val="single" w:color="auto" w:sz="4" w:space="0"/>
              <w:left w:val="single" w:color="auto" w:sz="4" w:space="0"/>
              <w:bottom w:val="single" w:color="auto" w:sz="4" w:space="0"/>
              <w:right w:val="single" w:color="auto" w:sz="4" w:space="0"/>
            </w:tcBorders>
            <w:vAlign w:val="center"/>
          </w:tcPr>
          <w:p w14:paraId="417F147E">
            <w:pPr>
              <w:widowControl/>
              <w:adjustRightInd w:val="0"/>
              <w:snapToGrid w:val="0"/>
              <w:spacing w:line="288" w:lineRule="auto"/>
              <w:jc w:val="left"/>
              <w:rPr>
                <w:rFonts w:cs="方正小标宋简体"/>
                <w:color w:val="auto"/>
                <w:sz w:val="24"/>
              </w:rPr>
            </w:pPr>
            <w:r>
              <w:rPr>
                <w:rFonts w:hint="eastAsia" w:eastAsia="仿宋" w:cs="方正小标宋简体"/>
                <w:color w:val="auto"/>
                <w:sz w:val="24"/>
              </w:rPr>
              <w:t>见竞争性磋商公告</w:t>
            </w:r>
          </w:p>
        </w:tc>
      </w:tr>
      <w:tr w14:paraId="3BE4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57200E63">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1.1.</w:t>
            </w:r>
            <w:r>
              <w:rPr>
                <w:rFonts w:hint="eastAsia" w:eastAsia="仿宋" w:cs="方正小标宋简体"/>
                <w:color w:val="auto"/>
                <w:sz w:val="24"/>
              </w:rPr>
              <w:t>4</w:t>
            </w:r>
          </w:p>
        </w:tc>
        <w:tc>
          <w:tcPr>
            <w:tcW w:w="1581" w:type="dxa"/>
            <w:tcBorders>
              <w:top w:val="single" w:color="auto" w:sz="4" w:space="0"/>
              <w:left w:val="single" w:color="auto" w:sz="4" w:space="0"/>
              <w:bottom w:val="single" w:color="auto" w:sz="4" w:space="0"/>
              <w:right w:val="single" w:color="auto" w:sz="4" w:space="0"/>
            </w:tcBorders>
            <w:vAlign w:val="center"/>
          </w:tcPr>
          <w:p w14:paraId="03D4C2E3">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标段（包别）划分</w:t>
            </w:r>
          </w:p>
        </w:tc>
        <w:tc>
          <w:tcPr>
            <w:tcW w:w="7229" w:type="dxa"/>
            <w:tcBorders>
              <w:top w:val="single" w:color="auto" w:sz="4" w:space="0"/>
              <w:left w:val="single" w:color="auto" w:sz="4" w:space="0"/>
              <w:bottom w:val="single" w:color="auto" w:sz="4" w:space="0"/>
              <w:right w:val="single" w:color="auto" w:sz="4" w:space="0"/>
            </w:tcBorders>
            <w:vAlign w:val="center"/>
          </w:tcPr>
          <w:p w14:paraId="1445268E">
            <w:pPr>
              <w:widowControl/>
              <w:adjustRightInd w:val="0"/>
              <w:snapToGrid w:val="0"/>
              <w:spacing w:line="288" w:lineRule="auto"/>
              <w:jc w:val="left"/>
              <w:rPr>
                <w:rFonts w:cs="方正小标宋简体"/>
                <w:color w:val="auto"/>
                <w:sz w:val="24"/>
              </w:rPr>
            </w:pPr>
            <w:r>
              <w:rPr>
                <w:rFonts w:hint="eastAsia" w:ascii="楷体" w:hAnsi="楷体" w:eastAsia="楷体" w:cs="楷体"/>
                <w:color w:val="auto"/>
                <w:sz w:val="24"/>
              </w:rPr>
              <w:t>1个标包</w:t>
            </w:r>
          </w:p>
        </w:tc>
      </w:tr>
      <w:tr w14:paraId="182E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5407D0B7">
            <w:pPr>
              <w:widowControl/>
              <w:adjustRightInd w:val="0"/>
              <w:snapToGrid w:val="0"/>
              <w:spacing w:line="288" w:lineRule="auto"/>
              <w:jc w:val="center"/>
              <w:rPr>
                <w:rFonts w:cs="方正小标宋简体"/>
                <w:color w:val="auto"/>
                <w:sz w:val="24"/>
              </w:rPr>
            </w:pPr>
            <w:r>
              <w:rPr>
                <w:rFonts w:eastAsia="仿宋" w:cs="方正小标宋简体"/>
                <w:color w:val="auto"/>
                <w:sz w:val="24"/>
              </w:rPr>
              <w:t>1.</w:t>
            </w:r>
            <w:r>
              <w:rPr>
                <w:rFonts w:hint="eastAsia" w:eastAsia="仿宋" w:cs="方正小标宋简体"/>
                <w:color w:val="auto"/>
                <w:sz w:val="24"/>
              </w:rPr>
              <w:t>2</w:t>
            </w:r>
            <w:r>
              <w:rPr>
                <w:rFonts w:eastAsia="仿宋" w:cs="方正小标宋简体"/>
                <w:color w:val="auto"/>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4ADEDE7D">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采购需求</w:t>
            </w:r>
          </w:p>
        </w:tc>
        <w:tc>
          <w:tcPr>
            <w:tcW w:w="7229" w:type="dxa"/>
            <w:tcBorders>
              <w:top w:val="single" w:color="auto" w:sz="4" w:space="0"/>
              <w:left w:val="single" w:color="auto" w:sz="4" w:space="0"/>
              <w:bottom w:val="single" w:color="auto" w:sz="4" w:space="0"/>
              <w:right w:val="single" w:color="auto" w:sz="4" w:space="0"/>
            </w:tcBorders>
            <w:vAlign w:val="center"/>
          </w:tcPr>
          <w:p w14:paraId="630A2B5D">
            <w:pPr>
              <w:widowControl/>
              <w:adjustRightInd w:val="0"/>
              <w:snapToGrid w:val="0"/>
              <w:spacing w:line="288" w:lineRule="auto"/>
              <w:rPr>
                <w:rFonts w:cs="方正小标宋简体"/>
                <w:color w:val="auto"/>
                <w:sz w:val="24"/>
                <w:u w:val="single"/>
              </w:rPr>
            </w:pPr>
            <w:r>
              <w:rPr>
                <w:rFonts w:hint="eastAsia" w:eastAsia="仿宋" w:cs="方正小标宋简体"/>
                <w:color w:val="auto"/>
                <w:sz w:val="24"/>
              </w:rPr>
              <w:t>具体采购需求详见第三章采购需求。</w:t>
            </w:r>
          </w:p>
        </w:tc>
      </w:tr>
      <w:tr w14:paraId="5914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490BA14E">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1.</w:t>
            </w:r>
            <w:r>
              <w:rPr>
                <w:rFonts w:hint="eastAsia" w:eastAsia="仿宋" w:cs="方正小标宋简体"/>
                <w:color w:val="auto"/>
                <w:sz w:val="24"/>
              </w:rPr>
              <w:t>2</w:t>
            </w:r>
            <w:r>
              <w:rPr>
                <w:rFonts w:eastAsia="仿宋" w:cs="方正小标宋简体"/>
                <w:color w:val="auto"/>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5E37F8DD">
            <w:pPr>
              <w:widowControl/>
              <w:adjustRightInd w:val="0"/>
              <w:snapToGrid w:val="0"/>
              <w:spacing w:line="288" w:lineRule="auto"/>
              <w:jc w:val="center"/>
              <w:rPr>
                <w:rFonts w:eastAsia="楷体_GB2312" w:cs="方正小标宋简体"/>
                <w:color w:val="auto"/>
                <w:sz w:val="24"/>
              </w:rPr>
            </w:pPr>
            <w:r>
              <w:rPr>
                <w:rFonts w:hint="eastAsia" w:eastAsia="仿宋" w:cs="方正小标宋简体"/>
                <w:color w:val="auto"/>
                <w:sz w:val="24"/>
              </w:rPr>
              <w:t>服务期限</w:t>
            </w:r>
          </w:p>
        </w:tc>
        <w:tc>
          <w:tcPr>
            <w:tcW w:w="7229" w:type="dxa"/>
            <w:tcBorders>
              <w:top w:val="single" w:color="auto" w:sz="4" w:space="0"/>
              <w:left w:val="single" w:color="auto" w:sz="4" w:space="0"/>
              <w:bottom w:val="single" w:color="auto" w:sz="4" w:space="0"/>
              <w:right w:val="single" w:color="auto" w:sz="4" w:space="0"/>
            </w:tcBorders>
            <w:vAlign w:val="center"/>
          </w:tcPr>
          <w:p w14:paraId="0307B0C1">
            <w:pPr>
              <w:widowControl/>
              <w:adjustRightInd w:val="0"/>
              <w:snapToGrid w:val="0"/>
              <w:spacing w:line="288" w:lineRule="auto"/>
              <w:rPr>
                <w:rFonts w:hint="eastAsia" w:ascii="仿宋" w:hAnsi="仿宋" w:eastAsia="仿宋" w:cs="仿宋"/>
                <w:color w:val="auto"/>
                <w:sz w:val="24"/>
              </w:rPr>
            </w:pPr>
            <w:r>
              <w:rPr>
                <w:rFonts w:hint="eastAsia" w:ascii="仿宋" w:hAnsi="仿宋" w:eastAsia="仿宋" w:cs="仿宋"/>
                <w:color w:val="auto"/>
                <w:sz w:val="24"/>
                <w:lang w:bidi="ar"/>
              </w:rPr>
              <w:t>自合同签订之日起，至顺利取得</w:t>
            </w:r>
            <w:r>
              <w:rPr>
                <w:rFonts w:ascii="仿宋" w:hAnsi="仿宋" w:eastAsia="仿宋" w:cs="仿宋"/>
                <w:color w:val="auto"/>
                <w:sz w:val="24"/>
                <w:lang w:bidi="ar"/>
              </w:rPr>
              <w:t>CNAS</w:t>
            </w:r>
            <w:r>
              <w:rPr>
                <w:rFonts w:hint="eastAsia" w:ascii="仿宋" w:hAnsi="仿宋" w:eastAsia="仿宋" w:cs="仿宋"/>
                <w:color w:val="auto"/>
                <w:sz w:val="24"/>
                <w:lang w:bidi="ar"/>
              </w:rPr>
              <w:t>认可证书为止，包含后续评审整改、资料归档及质保期免费答疑指导服务。</w:t>
            </w:r>
          </w:p>
        </w:tc>
      </w:tr>
      <w:tr w14:paraId="781B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05C9BA8A">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1.</w:t>
            </w:r>
            <w:r>
              <w:rPr>
                <w:rFonts w:hint="eastAsia" w:eastAsia="仿宋" w:cs="方正小标宋简体"/>
                <w:color w:val="auto"/>
                <w:sz w:val="24"/>
              </w:rPr>
              <w:t>2</w:t>
            </w:r>
            <w:r>
              <w:rPr>
                <w:rFonts w:eastAsia="仿宋" w:cs="方正小标宋简体"/>
                <w:color w:val="auto"/>
                <w:sz w:val="24"/>
              </w:rPr>
              <w:t>.3</w:t>
            </w:r>
          </w:p>
        </w:tc>
        <w:tc>
          <w:tcPr>
            <w:tcW w:w="1581" w:type="dxa"/>
            <w:tcBorders>
              <w:top w:val="single" w:color="auto" w:sz="4" w:space="0"/>
              <w:left w:val="single" w:color="auto" w:sz="4" w:space="0"/>
              <w:bottom w:val="single" w:color="auto" w:sz="4" w:space="0"/>
              <w:right w:val="single" w:color="auto" w:sz="4" w:space="0"/>
            </w:tcBorders>
            <w:vAlign w:val="center"/>
          </w:tcPr>
          <w:p w14:paraId="27060525">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质量要求</w:t>
            </w:r>
          </w:p>
        </w:tc>
        <w:tc>
          <w:tcPr>
            <w:tcW w:w="7229" w:type="dxa"/>
            <w:tcBorders>
              <w:top w:val="single" w:color="auto" w:sz="4" w:space="0"/>
              <w:left w:val="single" w:color="auto" w:sz="4" w:space="0"/>
              <w:bottom w:val="single" w:color="auto" w:sz="4" w:space="0"/>
              <w:right w:val="single" w:color="auto" w:sz="4" w:space="0"/>
            </w:tcBorders>
            <w:vAlign w:val="center"/>
          </w:tcPr>
          <w:p w14:paraId="2D001B15">
            <w:pPr>
              <w:widowControl/>
              <w:adjustRightInd w:val="0"/>
              <w:snapToGrid w:val="0"/>
              <w:spacing w:line="288" w:lineRule="auto"/>
              <w:rPr>
                <w:color w:val="auto"/>
                <w:kern w:val="0"/>
                <w:sz w:val="24"/>
              </w:rPr>
            </w:pPr>
            <w:r>
              <w:rPr>
                <w:rFonts w:hint="eastAsia" w:ascii="仿宋" w:hAnsi="仿宋" w:eastAsia="仿宋" w:cs="仿宋"/>
                <w:color w:val="auto"/>
                <w:sz w:val="24"/>
              </w:rPr>
              <w:t>满足采购文件第三章采购需求、项目实际需求和采购人要求。</w:t>
            </w:r>
          </w:p>
        </w:tc>
      </w:tr>
      <w:tr w14:paraId="0EE7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5CF22D18">
            <w:pPr>
              <w:widowControl/>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1.3.1</w:t>
            </w:r>
          </w:p>
        </w:tc>
        <w:tc>
          <w:tcPr>
            <w:tcW w:w="1581" w:type="dxa"/>
            <w:tcBorders>
              <w:top w:val="single" w:color="auto" w:sz="4" w:space="0"/>
              <w:left w:val="single" w:color="auto" w:sz="4" w:space="0"/>
              <w:bottom w:val="single" w:color="auto" w:sz="4" w:space="0"/>
              <w:right w:val="single" w:color="auto" w:sz="4" w:space="0"/>
            </w:tcBorders>
            <w:vAlign w:val="center"/>
          </w:tcPr>
          <w:p w14:paraId="51B8D18D">
            <w:pPr>
              <w:widowControl/>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供应商资格条件、能力和信誉</w:t>
            </w:r>
          </w:p>
        </w:tc>
        <w:tc>
          <w:tcPr>
            <w:tcW w:w="7229" w:type="dxa"/>
            <w:tcBorders>
              <w:top w:val="single" w:color="auto" w:sz="4" w:space="0"/>
              <w:left w:val="single" w:color="auto" w:sz="4" w:space="0"/>
              <w:bottom w:val="single" w:color="auto" w:sz="4" w:space="0"/>
              <w:right w:val="single" w:color="auto" w:sz="4" w:space="0"/>
            </w:tcBorders>
            <w:vAlign w:val="center"/>
          </w:tcPr>
          <w:p w14:paraId="3A4BF447">
            <w:pPr>
              <w:widowControl/>
              <w:adjustRightInd w:val="0"/>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见竞争性磋商公告</w:t>
            </w:r>
          </w:p>
        </w:tc>
      </w:tr>
      <w:tr w14:paraId="3850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5086FD9D">
            <w:pPr>
              <w:widowControl/>
              <w:adjustRightInd w:val="0"/>
              <w:snapToGrid w:val="0"/>
              <w:spacing w:line="288" w:lineRule="auto"/>
              <w:jc w:val="center"/>
              <w:rPr>
                <w:rFonts w:cs="方正小标宋简体"/>
                <w:color w:val="auto"/>
                <w:sz w:val="24"/>
              </w:rPr>
            </w:pPr>
            <w:r>
              <w:rPr>
                <w:rFonts w:eastAsia="仿宋" w:cs="方正小标宋简体"/>
                <w:color w:val="auto"/>
                <w:sz w:val="24"/>
              </w:rPr>
              <w:t>1.</w:t>
            </w:r>
            <w:r>
              <w:rPr>
                <w:rFonts w:hint="eastAsia" w:eastAsia="仿宋" w:cs="方正小标宋简体"/>
                <w:color w:val="auto"/>
                <w:sz w:val="24"/>
              </w:rPr>
              <w:t>3</w:t>
            </w:r>
            <w:r>
              <w:rPr>
                <w:rFonts w:eastAsia="仿宋" w:cs="方正小标宋简体"/>
                <w:color w:val="auto"/>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65BC54F6">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是否接受联合体响应</w:t>
            </w:r>
          </w:p>
        </w:tc>
        <w:tc>
          <w:tcPr>
            <w:tcW w:w="7229" w:type="dxa"/>
            <w:tcBorders>
              <w:top w:val="single" w:color="auto" w:sz="4" w:space="0"/>
              <w:left w:val="single" w:color="auto" w:sz="4" w:space="0"/>
              <w:bottom w:val="single" w:color="auto" w:sz="4" w:space="0"/>
              <w:right w:val="single" w:color="auto" w:sz="4" w:space="0"/>
            </w:tcBorders>
            <w:vAlign w:val="center"/>
          </w:tcPr>
          <w:p w14:paraId="051454E9">
            <w:pPr>
              <w:widowControl/>
              <w:topLinePunct/>
              <w:adjustRightInd w:val="0"/>
              <w:snapToGrid w:val="0"/>
              <w:spacing w:line="288" w:lineRule="auto"/>
              <w:rPr>
                <w:rFonts w:eastAsia="仿宋" w:cs="方正小标宋简体"/>
                <w:color w:val="auto"/>
                <w:sz w:val="24"/>
              </w:rPr>
            </w:pPr>
            <w:r>
              <w:rPr>
                <w:rFonts w:eastAsia="仿宋" w:cs="方正小标宋简体"/>
                <w:color w:val="auto"/>
                <w:sz w:val="24"/>
                <w:lang w:bidi="ar"/>
              </w:rPr>
              <w:sym w:font="Wingdings 2" w:char="0052"/>
            </w:r>
            <w:r>
              <w:rPr>
                <w:rFonts w:hint="eastAsia" w:eastAsia="仿宋" w:cs="方正小标宋简体"/>
                <w:color w:val="auto"/>
                <w:sz w:val="24"/>
                <w:lang w:bidi="ar"/>
              </w:rPr>
              <w:t>不接受</w:t>
            </w:r>
          </w:p>
          <w:p w14:paraId="780A2590">
            <w:pPr>
              <w:widowControl/>
              <w:adjustRightInd w:val="0"/>
              <w:snapToGrid w:val="0"/>
              <w:spacing w:line="288" w:lineRule="auto"/>
              <w:rPr>
                <w:rFonts w:cs="方正小标宋简体"/>
                <w:color w:val="auto"/>
                <w:sz w:val="24"/>
                <w:u w:val="single"/>
              </w:rPr>
            </w:pPr>
            <w:r>
              <w:rPr>
                <w:rFonts w:hint="eastAsia" w:eastAsia="仿宋" w:cs="方正小标宋简体"/>
                <w:color w:val="auto"/>
                <w:sz w:val="24"/>
              </w:rPr>
              <w:t>□接受，应当满足下列要求：</w:t>
            </w:r>
          </w:p>
        </w:tc>
      </w:tr>
      <w:tr w14:paraId="0244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1C2412E">
            <w:pPr>
              <w:widowControl/>
              <w:adjustRightInd w:val="0"/>
              <w:snapToGrid w:val="0"/>
              <w:spacing w:line="288" w:lineRule="auto"/>
              <w:jc w:val="center"/>
              <w:rPr>
                <w:rFonts w:cs="方正小标宋简体"/>
                <w:color w:val="auto"/>
                <w:sz w:val="24"/>
              </w:rPr>
            </w:pPr>
            <w:r>
              <w:rPr>
                <w:rFonts w:eastAsia="仿宋" w:cs="方正小标宋简体"/>
                <w:color w:val="auto"/>
                <w:sz w:val="24"/>
              </w:rPr>
              <w:t>1.</w:t>
            </w:r>
            <w:r>
              <w:rPr>
                <w:rFonts w:hint="eastAsia" w:eastAsia="仿宋" w:cs="方正小标宋简体"/>
                <w:color w:val="auto"/>
                <w:sz w:val="24"/>
              </w:rPr>
              <w:t>3</w:t>
            </w:r>
            <w:r>
              <w:rPr>
                <w:rFonts w:eastAsia="仿宋" w:cs="方正小标宋简体"/>
                <w:color w:val="auto"/>
                <w:sz w:val="24"/>
              </w:rPr>
              <w:t>.3</w:t>
            </w:r>
          </w:p>
        </w:tc>
        <w:tc>
          <w:tcPr>
            <w:tcW w:w="1581" w:type="dxa"/>
            <w:tcBorders>
              <w:top w:val="single" w:color="auto" w:sz="4" w:space="0"/>
              <w:left w:val="single" w:color="auto" w:sz="4" w:space="0"/>
              <w:bottom w:val="single" w:color="auto" w:sz="4" w:space="0"/>
              <w:right w:val="single" w:color="auto" w:sz="4" w:space="0"/>
            </w:tcBorders>
            <w:vAlign w:val="center"/>
          </w:tcPr>
          <w:p w14:paraId="444B8788">
            <w:pPr>
              <w:widowControl/>
              <w:adjustRightInd w:val="0"/>
              <w:snapToGrid w:val="0"/>
              <w:spacing w:line="288" w:lineRule="auto"/>
              <w:jc w:val="center"/>
              <w:rPr>
                <w:rFonts w:cs="方正小标宋简体"/>
                <w:color w:val="auto"/>
                <w:sz w:val="24"/>
              </w:rPr>
            </w:pPr>
            <w:r>
              <w:rPr>
                <w:rFonts w:hint="eastAsia" w:eastAsia="仿宋" w:cs="仿宋"/>
                <w:color w:val="auto"/>
                <w:sz w:val="24"/>
              </w:rPr>
              <w:t>供应商不得存在的其他情形</w:t>
            </w:r>
          </w:p>
        </w:tc>
        <w:tc>
          <w:tcPr>
            <w:tcW w:w="7229" w:type="dxa"/>
            <w:tcBorders>
              <w:top w:val="single" w:color="auto" w:sz="4" w:space="0"/>
              <w:left w:val="single" w:color="auto" w:sz="4" w:space="0"/>
              <w:bottom w:val="single" w:color="auto" w:sz="4" w:space="0"/>
              <w:right w:val="single" w:color="auto" w:sz="4" w:space="0"/>
            </w:tcBorders>
            <w:vAlign w:val="center"/>
          </w:tcPr>
          <w:p w14:paraId="209B5622">
            <w:pPr>
              <w:widowControl/>
              <w:topLinePunct/>
              <w:adjustRightInd w:val="0"/>
              <w:snapToGrid w:val="0"/>
              <w:spacing w:line="288" w:lineRule="auto"/>
              <w:rPr>
                <w:b/>
                <w:bCs/>
                <w:color w:val="auto"/>
                <w:sz w:val="24"/>
              </w:rPr>
            </w:pPr>
            <w:r>
              <w:rPr>
                <w:rFonts w:hint="eastAsia" w:ascii="楷体" w:hAnsi="楷体" w:eastAsia="楷体" w:cs="楷体"/>
                <w:color w:val="auto"/>
                <w:sz w:val="24"/>
              </w:rPr>
              <w:t>/</w:t>
            </w:r>
          </w:p>
        </w:tc>
      </w:tr>
      <w:tr w14:paraId="54A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08EBE82A">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1.</w:t>
            </w:r>
            <w:r>
              <w:rPr>
                <w:rFonts w:hint="eastAsia" w:eastAsia="仿宋" w:cs="方正小标宋简体"/>
                <w:color w:val="auto"/>
                <w:sz w:val="24"/>
              </w:rPr>
              <w:t>8</w:t>
            </w:r>
          </w:p>
        </w:tc>
        <w:tc>
          <w:tcPr>
            <w:tcW w:w="1581" w:type="dxa"/>
            <w:tcBorders>
              <w:top w:val="single" w:color="auto" w:sz="4" w:space="0"/>
              <w:left w:val="single" w:color="auto" w:sz="4" w:space="0"/>
              <w:bottom w:val="single" w:color="auto" w:sz="4" w:space="0"/>
              <w:right w:val="single" w:color="auto" w:sz="4" w:space="0"/>
            </w:tcBorders>
            <w:vAlign w:val="center"/>
          </w:tcPr>
          <w:p w14:paraId="5D363DD1">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分包</w:t>
            </w:r>
          </w:p>
        </w:tc>
        <w:tc>
          <w:tcPr>
            <w:tcW w:w="7229" w:type="dxa"/>
            <w:tcBorders>
              <w:top w:val="single" w:color="auto" w:sz="4" w:space="0"/>
              <w:left w:val="single" w:color="auto" w:sz="4" w:space="0"/>
              <w:bottom w:val="single" w:color="auto" w:sz="4" w:space="0"/>
              <w:right w:val="single" w:color="auto" w:sz="4" w:space="0"/>
            </w:tcBorders>
            <w:vAlign w:val="center"/>
          </w:tcPr>
          <w:p w14:paraId="04EE725B">
            <w:pPr>
              <w:widowControl/>
              <w:topLinePunct/>
              <w:adjustRightInd w:val="0"/>
              <w:snapToGrid w:val="0"/>
              <w:spacing w:line="288" w:lineRule="auto"/>
              <w:ind w:left="187" w:hanging="187" w:hangingChars="78"/>
              <w:rPr>
                <w:rFonts w:hint="eastAsia" w:ascii="仿宋" w:hAnsi="仿宋" w:eastAsia="仿宋" w:cs="仿宋"/>
                <w:color w:val="auto"/>
                <w:sz w:val="24"/>
              </w:rPr>
            </w:pPr>
            <w:r>
              <w:rPr>
                <w:rFonts w:ascii="仿宋" w:hAnsi="仿宋" w:eastAsia="仿宋" w:cs="仿宋"/>
                <w:color w:val="auto"/>
                <w:sz w:val="24"/>
                <w:lang w:bidi="ar"/>
              </w:rPr>
              <w:sym w:font="Wingdings 2" w:char="0052"/>
            </w:r>
            <w:r>
              <w:rPr>
                <w:rFonts w:hint="eastAsia" w:ascii="仿宋" w:hAnsi="仿宋" w:eastAsia="仿宋" w:cs="仿宋"/>
                <w:color w:val="auto"/>
                <w:sz w:val="24"/>
                <w:lang w:bidi="ar"/>
              </w:rPr>
              <w:t>不允许</w:t>
            </w:r>
          </w:p>
          <w:p w14:paraId="4AA5C5C7">
            <w:pPr>
              <w:widowControl/>
              <w:topLinePunct/>
              <w:adjustRightInd w:val="0"/>
              <w:snapToGrid w:val="0"/>
              <w:spacing w:line="288" w:lineRule="auto"/>
              <w:ind w:left="187" w:hanging="187" w:hangingChars="78"/>
              <w:rPr>
                <w:rFonts w:hint="eastAsia" w:ascii="仿宋" w:hAnsi="仿宋" w:eastAsia="仿宋" w:cs="仿宋"/>
                <w:color w:val="auto"/>
                <w:sz w:val="24"/>
              </w:rPr>
            </w:pPr>
            <w:r>
              <w:rPr>
                <w:rFonts w:hint="eastAsia" w:ascii="仿宋" w:hAnsi="仿宋" w:eastAsia="仿宋" w:cs="仿宋"/>
                <w:color w:val="auto"/>
                <w:sz w:val="24"/>
              </w:rPr>
              <w:t>□允许：</w:t>
            </w:r>
          </w:p>
        </w:tc>
      </w:tr>
      <w:tr w14:paraId="2448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57" w:type="dxa"/>
            <w:tcBorders>
              <w:top w:val="single" w:color="auto" w:sz="4" w:space="0"/>
              <w:left w:val="single" w:color="auto" w:sz="4" w:space="0"/>
              <w:bottom w:val="single" w:color="auto" w:sz="4" w:space="0"/>
              <w:right w:val="single" w:color="auto" w:sz="4" w:space="0"/>
            </w:tcBorders>
            <w:vAlign w:val="center"/>
          </w:tcPr>
          <w:p w14:paraId="4B95D1C9">
            <w:pPr>
              <w:widowControl/>
              <w:adjustRightInd w:val="0"/>
              <w:snapToGrid w:val="0"/>
              <w:spacing w:line="288" w:lineRule="auto"/>
              <w:jc w:val="center"/>
              <w:rPr>
                <w:rFonts w:cs="方正小标宋简体"/>
                <w:color w:val="auto"/>
                <w:sz w:val="24"/>
              </w:rPr>
            </w:pPr>
            <w:r>
              <w:rPr>
                <w:rFonts w:eastAsia="仿宋" w:cs="方正小标宋简体"/>
                <w:color w:val="auto"/>
                <w:sz w:val="24"/>
              </w:rPr>
              <w:t>3.2.1</w:t>
            </w:r>
          </w:p>
        </w:tc>
        <w:tc>
          <w:tcPr>
            <w:tcW w:w="1581" w:type="dxa"/>
            <w:tcBorders>
              <w:top w:val="single" w:color="auto" w:sz="4" w:space="0"/>
              <w:left w:val="single" w:color="auto" w:sz="4" w:space="0"/>
              <w:bottom w:val="single" w:color="auto" w:sz="4" w:space="0"/>
              <w:right w:val="single" w:color="auto" w:sz="4" w:space="0"/>
            </w:tcBorders>
            <w:vAlign w:val="center"/>
          </w:tcPr>
          <w:p w14:paraId="4D9DF478">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响应报价包括的内容</w:t>
            </w:r>
          </w:p>
        </w:tc>
        <w:tc>
          <w:tcPr>
            <w:tcW w:w="7229" w:type="dxa"/>
            <w:tcBorders>
              <w:top w:val="single" w:color="auto" w:sz="4" w:space="0"/>
              <w:left w:val="single" w:color="auto" w:sz="4" w:space="0"/>
              <w:bottom w:val="single" w:color="auto" w:sz="4" w:space="0"/>
              <w:right w:val="single" w:color="auto" w:sz="4" w:space="0"/>
            </w:tcBorders>
            <w:vAlign w:val="center"/>
          </w:tcPr>
          <w:p w14:paraId="3FB88160">
            <w:pPr>
              <w:widowControl/>
              <w:adjustRightInd w:val="0"/>
              <w:snapToGrid w:val="0"/>
              <w:spacing w:line="288" w:lineRule="auto"/>
              <w:rPr>
                <w:rFonts w:hint="eastAsia" w:ascii="PMingLiU" w:hAnsi="PMingLiU" w:eastAsia="PMingLiU" w:cs="PMingLiU"/>
                <w:bCs/>
                <w:color w:val="auto"/>
                <w:sz w:val="24"/>
              </w:rPr>
            </w:pPr>
            <w:r>
              <w:rPr>
                <w:rFonts w:hint="eastAsia" w:eastAsia="仿宋" w:cs="仿宋"/>
                <w:color w:val="auto"/>
                <w:sz w:val="24"/>
                <w:lang w:bidi="ar"/>
              </w:rPr>
              <w:t>本项目服务费按包干价报价，报价包含本次项目所有费用，涵盖调研费、方案编制费、文件编制费、培训费、现场驻场费、模拟评审费、整改指导费、对接服务费、售后质保费、税费等全部相关费用，为完成本项目全部服务内容所需的一切费用，采购人不再支付其他任何费用。</w:t>
            </w:r>
          </w:p>
        </w:tc>
      </w:tr>
      <w:tr w14:paraId="0721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D4BB06F">
            <w:pPr>
              <w:widowControl/>
              <w:adjustRightInd w:val="0"/>
              <w:snapToGrid w:val="0"/>
              <w:spacing w:line="288" w:lineRule="auto"/>
              <w:jc w:val="center"/>
              <w:rPr>
                <w:rFonts w:cs="方正小标宋简体"/>
                <w:color w:val="auto"/>
                <w:sz w:val="24"/>
              </w:rPr>
            </w:pPr>
            <w:r>
              <w:rPr>
                <w:rFonts w:eastAsia="仿宋" w:cs="方正小标宋简体"/>
                <w:color w:val="auto"/>
                <w:sz w:val="24"/>
              </w:rPr>
              <w:t>3.3.1</w:t>
            </w:r>
          </w:p>
        </w:tc>
        <w:tc>
          <w:tcPr>
            <w:tcW w:w="1581" w:type="dxa"/>
            <w:tcBorders>
              <w:top w:val="single" w:color="auto" w:sz="4" w:space="0"/>
              <w:left w:val="single" w:color="auto" w:sz="4" w:space="0"/>
              <w:bottom w:val="single" w:color="auto" w:sz="4" w:space="0"/>
              <w:right w:val="single" w:color="auto" w:sz="4" w:space="0"/>
            </w:tcBorders>
            <w:vAlign w:val="center"/>
          </w:tcPr>
          <w:p w14:paraId="5BBC8843">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响应文件有效期</w:t>
            </w:r>
          </w:p>
        </w:tc>
        <w:tc>
          <w:tcPr>
            <w:tcW w:w="7229" w:type="dxa"/>
            <w:tcBorders>
              <w:top w:val="single" w:color="auto" w:sz="4" w:space="0"/>
              <w:left w:val="single" w:color="auto" w:sz="4" w:space="0"/>
              <w:bottom w:val="single" w:color="auto" w:sz="4" w:space="0"/>
              <w:right w:val="single" w:color="auto" w:sz="4" w:space="0"/>
            </w:tcBorders>
            <w:vAlign w:val="center"/>
          </w:tcPr>
          <w:p w14:paraId="6AC44894">
            <w:pPr>
              <w:widowControl/>
              <w:adjustRightInd w:val="0"/>
              <w:snapToGrid w:val="0"/>
              <w:spacing w:line="288" w:lineRule="auto"/>
              <w:rPr>
                <w:rFonts w:cs="方正小标宋简体"/>
                <w:color w:val="auto"/>
                <w:sz w:val="24"/>
              </w:rPr>
            </w:pPr>
            <w:r>
              <w:rPr>
                <w:rFonts w:eastAsia="仿宋" w:cs="方正小标宋简体"/>
                <w:color w:val="auto"/>
                <w:sz w:val="24"/>
                <w:u w:val="single"/>
              </w:rPr>
              <w:t xml:space="preserve"> 90 </w:t>
            </w:r>
            <w:r>
              <w:rPr>
                <w:rFonts w:hint="eastAsia" w:eastAsia="仿宋" w:cs="方正小标宋简体"/>
                <w:color w:val="auto"/>
                <w:sz w:val="24"/>
              </w:rPr>
              <w:t>日历天</w:t>
            </w:r>
            <w:r>
              <w:rPr>
                <w:rFonts w:hint="eastAsia" w:eastAsia="仿宋" w:cs="仿宋"/>
                <w:color w:val="auto"/>
                <w:sz w:val="24"/>
              </w:rPr>
              <w:t>（从提交首次响应文件截止之日算起）</w:t>
            </w:r>
          </w:p>
        </w:tc>
      </w:tr>
      <w:tr w14:paraId="11A1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2550783E">
            <w:pPr>
              <w:widowControl/>
              <w:adjustRightInd w:val="0"/>
              <w:snapToGrid w:val="0"/>
              <w:spacing w:line="288" w:lineRule="auto"/>
              <w:jc w:val="center"/>
              <w:rPr>
                <w:rFonts w:cs="方正小标宋简体"/>
                <w:color w:val="auto"/>
                <w:sz w:val="24"/>
              </w:rPr>
            </w:pPr>
            <w:r>
              <w:rPr>
                <w:rFonts w:eastAsia="仿宋" w:cs="方正小标宋简体"/>
                <w:color w:val="auto"/>
                <w:sz w:val="24"/>
              </w:rPr>
              <w:t>3.4.1</w:t>
            </w:r>
          </w:p>
        </w:tc>
        <w:tc>
          <w:tcPr>
            <w:tcW w:w="1581" w:type="dxa"/>
            <w:tcBorders>
              <w:top w:val="single" w:color="auto" w:sz="4" w:space="0"/>
              <w:left w:val="single" w:color="auto" w:sz="4" w:space="0"/>
              <w:bottom w:val="single" w:color="auto" w:sz="4" w:space="0"/>
              <w:right w:val="single" w:color="auto" w:sz="4" w:space="0"/>
            </w:tcBorders>
            <w:vAlign w:val="center"/>
          </w:tcPr>
          <w:p w14:paraId="1B219EC5">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竞争性磋商保证金</w:t>
            </w:r>
          </w:p>
        </w:tc>
        <w:tc>
          <w:tcPr>
            <w:tcW w:w="7229" w:type="dxa"/>
            <w:tcBorders>
              <w:top w:val="single" w:color="auto" w:sz="4" w:space="0"/>
              <w:left w:val="single" w:color="auto" w:sz="4" w:space="0"/>
              <w:bottom w:val="single" w:color="auto" w:sz="4" w:space="0"/>
              <w:right w:val="single" w:color="auto" w:sz="4" w:space="0"/>
            </w:tcBorders>
            <w:vAlign w:val="center"/>
          </w:tcPr>
          <w:p w14:paraId="73D4A08A">
            <w:pPr>
              <w:kinsoku w:val="0"/>
              <w:overflowPunct w:val="0"/>
              <w:autoSpaceDE w:val="0"/>
              <w:autoSpaceDN w:val="0"/>
              <w:adjustRightInd w:val="0"/>
              <w:snapToGrid w:val="0"/>
              <w:spacing w:line="288" w:lineRule="auto"/>
              <w:rPr>
                <w:rFonts w:eastAsia="仿宋"/>
                <w:color w:val="auto"/>
                <w:sz w:val="24"/>
              </w:rPr>
            </w:pPr>
            <w:r>
              <w:rPr>
                <w:rFonts w:hint="eastAsia" w:ascii="Times New Roman" w:hAnsi="Times New Roman" w:eastAsia="仿宋" w:cs="仿宋"/>
                <w:color w:val="auto"/>
                <w:sz w:val="24"/>
                <w:lang w:bidi="ar"/>
              </w:rPr>
              <w:t>是否要求供应商提交竞争性磋商保证金：</w:t>
            </w:r>
          </w:p>
          <w:p w14:paraId="3F1FB815">
            <w:pPr>
              <w:kinsoku w:val="0"/>
              <w:overflowPunct w:val="0"/>
              <w:autoSpaceDE w:val="0"/>
              <w:autoSpaceDN w:val="0"/>
              <w:adjustRightInd w:val="0"/>
              <w:snapToGrid w:val="0"/>
              <w:spacing w:line="288" w:lineRule="auto"/>
              <w:rPr>
                <w:rFonts w:eastAsia="仿宋"/>
                <w:color w:val="auto"/>
                <w:sz w:val="24"/>
              </w:rPr>
            </w:pPr>
            <w:r>
              <w:rPr>
                <w:rFonts w:eastAsia="仿宋" w:cs="Wingdings 2"/>
                <w:color w:val="auto"/>
                <w:sz w:val="24"/>
                <w:lang w:bidi="ar"/>
              </w:rPr>
              <w:sym w:font="Wingdings 2" w:char="0052"/>
            </w:r>
            <w:r>
              <w:rPr>
                <w:rFonts w:hint="eastAsia" w:ascii="Times New Roman" w:hAnsi="Times New Roman" w:eastAsia="仿宋" w:cs="仿宋"/>
                <w:color w:val="auto"/>
                <w:sz w:val="24"/>
                <w:lang w:bidi="ar"/>
              </w:rPr>
              <w:t>不要求。</w:t>
            </w:r>
          </w:p>
          <w:p w14:paraId="3EE5D179">
            <w:pPr>
              <w:widowControl/>
              <w:adjustRightInd w:val="0"/>
              <w:snapToGrid w:val="0"/>
              <w:spacing w:line="288" w:lineRule="auto"/>
              <w:rPr>
                <w:rFonts w:eastAsia="Tahoma"/>
                <w:color w:val="auto"/>
                <w:sz w:val="24"/>
              </w:rPr>
            </w:pPr>
            <w:r>
              <w:rPr>
                <w:rFonts w:eastAsia="仿宋" w:cs="Wingdings 2"/>
                <w:color w:val="auto"/>
                <w:sz w:val="24"/>
                <w:lang w:bidi="ar"/>
              </w:rPr>
              <w:sym w:font="Wingdings 2" w:char="00A3"/>
            </w:r>
            <w:r>
              <w:rPr>
                <w:rFonts w:hint="eastAsia" w:ascii="Times New Roman" w:hAnsi="Times New Roman" w:eastAsia="仿宋" w:cs="仿宋"/>
                <w:color w:val="auto"/>
                <w:sz w:val="24"/>
                <w:lang w:bidi="ar"/>
              </w:rPr>
              <w:t>要求</w:t>
            </w:r>
          </w:p>
        </w:tc>
      </w:tr>
      <w:tr w14:paraId="2DFB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0CE53AD8">
            <w:pPr>
              <w:widowControl/>
              <w:adjustRightInd w:val="0"/>
              <w:snapToGrid w:val="0"/>
              <w:spacing w:line="288" w:lineRule="auto"/>
              <w:jc w:val="center"/>
              <w:rPr>
                <w:rFonts w:cs="方正小标宋简体"/>
                <w:color w:val="auto"/>
                <w:sz w:val="24"/>
              </w:rPr>
            </w:pPr>
            <w:r>
              <w:rPr>
                <w:rFonts w:eastAsia="仿宋" w:cs="方正小标宋简体"/>
                <w:color w:val="auto"/>
                <w:sz w:val="24"/>
              </w:rPr>
              <w:t>3.5.2</w:t>
            </w:r>
          </w:p>
        </w:tc>
        <w:tc>
          <w:tcPr>
            <w:tcW w:w="1581" w:type="dxa"/>
            <w:tcBorders>
              <w:top w:val="single" w:color="auto" w:sz="4" w:space="0"/>
              <w:left w:val="single" w:color="auto" w:sz="4" w:space="0"/>
              <w:bottom w:val="single" w:color="auto" w:sz="4" w:space="0"/>
              <w:right w:val="single" w:color="auto" w:sz="4" w:space="0"/>
            </w:tcBorders>
            <w:vAlign w:val="center"/>
          </w:tcPr>
          <w:p w14:paraId="510F20B9">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近年财务状况的要求</w:t>
            </w:r>
          </w:p>
        </w:tc>
        <w:tc>
          <w:tcPr>
            <w:tcW w:w="7229" w:type="dxa"/>
            <w:tcBorders>
              <w:top w:val="single" w:color="auto" w:sz="4" w:space="0"/>
              <w:left w:val="single" w:color="auto" w:sz="4" w:space="0"/>
              <w:bottom w:val="single" w:color="auto" w:sz="4" w:space="0"/>
              <w:right w:val="single" w:color="auto" w:sz="4" w:space="0"/>
            </w:tcBorders>
            <w:vAlign w:val="center"/>
          </w:tcPr>
          <w:p w14:paraId="4C673225">
            <w:pPr>
              <w:widowControl/>
              <w:adjustRightInd w:val="0"/>
              <w:snapToGrid w:val="0"/>
              <w:spacing w:line="288" w:lineRule="auto"/>
              <w:rPr>
                <w:rFonts w:hint="eastAsia" w:ascii="PMingLiU" w:hAnsi="PMingLiU" w:eastAsia="PMingLiU" w:cs="方正小标宋简体"/>
                <w:color w:val="auto"/>
                <w:sz w:val="24"/>
              </w:rPr>
            </w:pPr>
            <w:r>
              <w:rPr>
                <w:rFonts w:hint="eastAsia" w:ascii="PMingLiU" w:hAnsi="PMingLiU" w:eastAsia="仿宋" w:cs="楷体"/>
                <w:color w:val="auto"/>
                <w:sz w:val="24"/>
              </w:rPr>
              <w:t>按第四章竞争性磋商和评审办法规定</w:t>
            </w:r>
          </w:p>
        </w:tc>
      </w:tr>
      <w:tr w14:paraId="3BBF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2A32869C">
            <w:pPr>
              <w:widowControl/>
              <w:adjustRightInd w:val="0"/>
              <w:snapToGrid w:val="0"/>
              <w:spacing w:line="288" w:lineRule="auto"/>
              <w:jc w:val="center"/>
              <w:rPr>
                <w:rFonts w:cs="方正小标宋简体"/>
                <w:color w:val="auto"/>
                <w:sz w:val="24"/>
              </w:rPr>
            </w:pPr>
            <w:r>
              <w:rPr>
                <w:rFonts w:eastAsia="仿宋" w:cs="方正小标宋简体"/>
                <w:color w:val="auto"/>
                <w:sz w:val="24"/>
              </w:rPr>
              <w:t>3.5.3</w:t>
            </w:r>
          </w:p>
        </w:tc>
        <w:tc>
          <w:tcPr>
            <w:tcW w:w="1581" w:type="dxa"/>
            <w:tcBorders>
              <w:top w:val="single" w:color="auto" w:sz="4" w:space="0"/>
              <w:left w:val="single" w:color="auto" w:sz="4" w:space="0"/>
              <w:bottom w:val="single" w:color="auto" w:sz="4" w:space="0"/>
              <w:right w:val="single" w:color="auto" w:sz="4" w:space="0"/>
            </w:tcBorders>
            <w:vAlign w:val="center"/>
          </w:tcPr>
          <w:p w14:paraId="6F62D866">
            <w:pPr>
              <w:widowControl/>
              <w:adjustRightInd w:val="0"/>
              <w:snapToGrid w:val="0"/>
              <w:spacing w:line="288" w:lineRule="auto"/>
              <w:jc w:val="center"/>
              <w:rPr>
                <w:rFonts w:cs="方正小标宋简体"/>
                <w:color w:val="auto"/>
                <w:sz w:val="24"/>
              </w:rPr>
            </w:pPr>
            <w:r>
              <w:rPr>
                <w:rFonts w:hint="eastAsia" w:eastAsia="仿宋" w:cs="楷体"/>
                <w:color w:val="auto"/>
                <w:sz w:val="24"/>
              </w:rPr>
              <w:t>近年类似项目的要求</w:t>
            </w:r>
          </w:p>
        </w:tc>
        <w:tc>
          <w:tcPr>
            <w:tcW w:w="7229" w:type="dxa"/>
            <w:tcBorders>
              <w:top w:val="single" w:color="auto" w:sz="4" w:space="0"/>
              <w:left w:val="single" w:color="auto" w:sz="4" w:space="0"/>
              <w:bottom w:val="single" w:color="auto" w:sz="4" w:space="0"/>
              <w:right w:val="single" w:color="auto" w:sz="4" w:space="0"/>
            </w:tcBorders>
            <w:vAlign w:val="center"/>
          </w:tcPr>
          <w:p w14:paraId="3E14B711">
            <w:pPr>
              <w:widowControl/>
              <w:adjustRightInd w:val="0"/>
              <w:snapToGrid w:val="0"/>
              <w:spacing w:line="288" w:lineRule="auto"/>
              <w:rPr>
                <w:rFonts w:hint="eastAsia" w:ascii="PMingLiU" w:hAnsi="PMingLiU" w:eastAsia="PMingLiU" w:cs="方正小标宋简体"/>
                <w:color w:val="auto"/>
                <w:sz w:val="24"/>
              </w:rPr>
            </w:pPr>
            <w:r>
              <w:rPr>
                <w:rFonts w:hint="eastAsia" w:ascii="PMingLiU" w:hAnsi="PMingLiU" w:eastAsia="仿宋" w:cs="楷体"/>
                <w:color w:val="auto"/>
                <w:sz w:val="24"/>
              </w:rPr>
              <w:t>按第四章竞争性磋商和评审办法规定</w:t>
            </w:r>
          </w:p>
        </w:tc>
      </w:tr>
      <w:tr w14:paraId="41A8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4BA6A26F">
            <w:pPr>
              <w:widowControl/>
              <w:adjustRightInd w:val="0"/>
              <w:snapToGrid w:val="0"/>
              <w:spacing w:line="288" w:lineRule="auto"/>
              <w:jc w:val="center"/>
              <w:rPr>
                <w:rFonts w:cs="方正小标宋简体"/>
                <w:color w:val="auto"/>
                <w:sz w:val="24"/>
              </w:rPr>
            </w:pPr>
            <w:r>
              <w:rPr>
                <w:rFonts w:eastAsia="仿宋" w:cs="方正小标宋简体"/>
                <w:color w:val="auto"/>
                <w:sz w:val="24"/>
              </w:rPr>
              <w:t>3.6</w:t>
            </w:r>
          </w:p>
        </w:tc>
        <w:tc>
          <w:tcPr>
            <w:tcW w:w="1581" w:type="dxa"/>
            <w:tcBorders>
              <w:top w:val="single" w:color="auto" w:sz="4" w:space="0"/>
              <w:left w:val="single" w:color="auto" w:sz="4" w:space="0"/>
              <w:bottom w:val="single" w:color="auto" w:sz="4" w:space="0"/>
              <w:right w:val="single" w:color="auto" w:sz="4" w:space="0"/>
            </w:tcBorders>
            <w:vAlign w:val="center"/>
          </w:tcPr>
          <w:p w14:paraId="52B26034">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响应文件编制</w:t>
            </w:r>
          </w:p>
        </w:tc>
        <w:tc>
          <w:tcPr>
            <w:tcW w:w="7229" w:type="dxa"/>
            <w:tcBorders>
              <w:top w:val="single" w:color="auto" w:sz="4" w:space="0"/>
              <w:left w:val="single" w:color="auto" w:sz="4" w:space="0"/>
              <w:bottom w:val="single" w:color="auto" w:sz="4" w:space="0"/>
              <w:right w:val="single" w:color="auto" w:sz="4" w:space="0"/>
            </w:tcBorders>
            <w:vAlign w:val="center"/>
          </w:tcPr>
          <w:p w14:paraId="2021899A">
            <w:pPr>
              <w:widowControl/>
              <w:adjustRightInd w:val="0"/>
              <w:snapToGrid w:val="0"/>
              <w:spacing w:line="288" w:lineRule="auto"/>
              <w:rPr>
                <w:rFonts w:hint="eastAsia" w:ascii="仿宋" w:hAnsi="仿宋" w:eastAsia="仿宋" w:cs="仿宋"/>
                <w:color w:val="auto"/>
                <w:sz w:val="24"/>
              </w:rPr>
            </w:pPr>
            <w:r>
              <w:rPr>
                <w:rFonts w:hint="eastAsia" w:eastAsia="仿宋" w:cs="方正小标宋简体"/>
                <w:color w:val="auto"/>
                <w:sz w:val="24"/>
              </w:rPr>
              <w:t>响应文件应按竞争性磋商文件规定格式进行编写。</w:t>
            </w:r>
          </w:p>
        </w:tc>
      </w:tr>
      <w:tr w14:paraId="0BC9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D89B596">
            <w:pPr>
              <w:widowControl/>
              <w:adjustRightInd w:val="0"/>
              <w:snapToGrid w:val="0"/>
              <w:spacing w:line="288" w:lineRule="auto"/>
              <w:jc w:val="center"/>
              <w:rPr>
                <w:rFonts w:eastAsia="仿宋" w:cs="方正小标宋简体"/>
                <w:color w:val="auto"/>
                <w:sz w:val="24"/>
              </w:rPr>
            </w:pPr>
            <w:r>
              <w:rPr>
                <w:rFonts w:eastAsia="仿宋" w:cs="方正小标宋简体"/>
                <w:color w:val="auto"/>
                <w:sz w:val="24"/>
              </w:rPr>
              <w:t>4.</w:t>
            </w:r>
            <w:r>
              <w:rPr>
                <w:rFonts w:hint="eastAsia" w:eastAsia="仿宋" w:cs="方正小标宋简体"/>
                <w:color w:val="auto"/>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2708486F">
            <w:pPr>
              <w:widowControl/>
              <w:adjustRightInd w:val="0"/>
              <w:snapToGrid w:val="0"/>
              <w:spacing w:line="288" w:lineRule="auto"/>
              <w:jc w:val="center"/>
              <w:rPr>
                <w:rFonts w:eastAsia="仿宋" w:cs="方正小标宋简体"/>
                <w:color w:val="auto"/>
                <w:sz w:val="24"/>
              </w:rPr>
            </w:pPr>
            <w:r>
              <w:rPr>
                <w:rFonts w:hint="eastAsia" w:eastAsia="仿宋" w:cs="方正小标宋简体"/>
                <w:color w:val="auto"/>
                <w:sz w:val="24"/>
              </w:rPr>
              <w:t>响应文件的提交</w:t>
            </w:r>
          </w:p>
        </w:tc>
        <w:tc>
          <w:tcPr>
            <w:tcW w:w="7229" w:type="dxa"/>
            <w:tcBorders>
              <w:top w:val="single" w:color="auto" w:sz="4" w:space="0"/>
              <w:left w:val="single" w:color="auto" w:sz="4" w:space="0"/>
              <w:bottom w:val="single" w:color="auto" w:sz="4" w:space="0"/>
              <w:right w:val="single" w:color="auto" w:sz="4" w:space="0"/>
            </w:tcBorders>
            <w:vAlign w:val="center"/>
          </w:tcPr>
          <w:p w14:paraId="03CF976E">
            <w:pPr>
              <w:widowControl/>
              <w:adjustRightInd w:val="0"/>
              <w:snapToGrid w:val="0"/>
              <w:spacing w:line="288" w:lineRule="auto"/>
              <w:rPr>
                <w:rFonts w:hint="eastAsia" w:ascii="仿宋" w:hAnsi="仿宋" w:eastAsia="仿宋" w:cs="仿宋"/>
                <w:color w:val="auto"/>
                <w:sz w:val="24"/>
              </w:rPr>
            </w:pPr>
            <w:r>
              <w:rPr>
                <w:rFonts w:ascii="仿宋" w:hAnsi="仿宋" w:eastAsia="仿宋" w:cs="仿宋"/>
                <w:color w:val="auto"/>
                <w:sz w:val="24"/>
              </w:rPr>
              <w:t>1.截止时间：</w:t>
            </w:r>
            <w:r>
              <w:rPr>
                <w:rFonts w:hint="eastAsia" w:ascii="仿宋" w:hAnsi="仿宋" w:eastAsia="仿宋" w:cs="仿宋"/>
                <w:color w:val="auto"/>
                <w:sz w:val="24"/>
              </w:rPr>
              <w:t>2026</w:t>
            </w:r>
            <w:r>
              <w:rPr>
                <w:rFonts w:ascii="仿宋" w:hAnsi="仿宋" w:eastAsia="仿宋" w:cs="仿宋"/>
                <w:color w:val="auto"/>
                <w:sz w:val="24"/>
              </w:rPr>
              <w:t>年</w:t>
            </w:r>
            <w:r>
              <w:rPr>
                <w:rFonts w:hint="eastAsia" w:ascii="仿宋" w:hAnsi="仿宋" w:eastAsia="仿宋" w:cs="仿宋"/>
                <w:color w:val="auto"/>
                <w:sz w:val="24"/>
              </w:rPr>
              <w:t>7</w:t>
            </w:r>
            <w:r>
              <w:rPr>
                <w:rFonts w:ascii="仿宋" w:hAnsi="仿宋" w:eastAsia="仿宋" w:cs="仿宋"/>
                <w:color w:val="auto"/>
                <w:sz w:val="24"/>
              </w:rPr>
              <w:t>月</w:t>
            </w:r>
            <w:r>
              <w:rPr>
                <w:rFonts w:hint="eastAsia" w:ascii="仿宋" w:hAnsi="仿宋" w:eastAsia="仿宋" w:cs="仿宋"/>
                <w:color w:val="auto"/>
                <w:sz w:val="24"/>
              </w:rPr>
              <w:t>21</w:t>
            </w:r>
            <w:r>
              <w:rPr>
                <w:rFonts w:ascii="仿宋" w:hAnsi="仿宋" w:eastAsia="仿宋" w:cs="仿宋"/>
                <w:color w:val="auto"/>
                <w:sz w:val="24"/>
              </w:rPr>
              <w:t>日9点30分（北京时间）</w:t>
            </w:r>
          </w:p>
          <w:p w14:paraId="4DF106EA">
            <w:pPr>
              <w:widowControl/>
              <w:adjustRightInd w:val="0"/>
              <w:snapToGrid w:val="0"/>
              <w:spacing w:line="288" w:lineRule="auto"/>
              <w:rPr>
                <w:rFonts w:hint="eastAsia" w:ascii="仿宋" w:hAnsi="仿宋" w:eastAsia="仿宋" w:cs="仿宋"/>
                <w:color w:val="auto"/>
                <w:sz w:val="24"/>
              </w:rPr>
            </w:pPr>
            <w:r>
              <w:rPr>
                <w:rFonts w:ascii="仿宋" w:hAnsi="仿宋" w:eastAsia="仿宋" w:cs="仿宋"/>
                <w:color w:val="auto"/>
                <w:sz w:val="24"/>
              </w:rPr>
              <w:t>2.递交份数：</w:t>
            </w:r>
            <w:r>
              <w:rPr>
                <w:rFonts w:hint="eastAsia" w:ascii="仿宋" w:hAnsi="仿宋" w:eastAsia="仿宋" w:cs="仿宋"/>
                <w:b/>
                <w:bCs/>
                <w:color w:val="auto"/>
                <w:sz w:val="24"/>
                <w:lang w:val="en-US" w:eastAsia="zh-CN" w:bidi="ar"/>
              </w:rPr>
              <w:t>纸质版</w:t>
            </w:r>
            <w:r>
              <w:rPr>
                <w:rFonts w:hint="eastAsia" w:ascii="仿宋" w:hAnsi="仿宋" w:eastAsia="仿宋" w:cs="仿宋"/>
                <w:b/>
                <w:bCs/>
                <w:color w:val="auto"/>
                <w:sz w:val="24"/>
                <w:lang w:bidi="ar"/>
              </w:rPr>
              <w:t>一</w:t>
            </w:r>
            <w:r>
              <w:rPr>
                <w:rFonts w:hint="eastAsia" w:ascii="仿宋" w:hAnsi="仿宋" w:eastAsia="仿宋" w:cs="仿宋"/>
                <w:b/>
                <w:bCs/>
                <w:color w:val="auto"/>
                <w:sz w:val="24"/>
                <w:lang w:val="en-US" w:eastAsia="zh-CN" w:bidi="ar"/>
              </w:rPr>
              <w:t>份</w:t>
            </w:r>
            <w:r>
              <w:rPr>
                <w:rFonts w:hint="eastAsia" w:ascii="仿宋" w:hAnsi="仿宋" w:eastAsia="仿宋" w:cs="仿宋"/>
                <w:color w:val="auto"/>
                <w:sz w:val="24"/>
                <w:lang w:bidi="ar"/>
              </w:rPr>
              <w:t>（请加盖单位公章并密封，包装封面注明单位名称、联系人、联系电话）、</w:t>
            </w:r>
            <w:r>
              <w:rPr>
                <w:rFonts w:hint="eastAsia" w:ascii="仿宋" w:hAnsi="仿宋" w:eastAsia="仿宋" w:cs="仿宋"/>
                <w:b/>
                <w:bCs/>
                <w:color w:val="auto"/>
                <w:sz w:val="24"/>
                <w:lang w:bidi="ar"/>
              </w:rPr>
              <w:t>电子版一份</w:t>
            </w:r>
            <w:r>
              <w:rPr>
                <w:rFonts w:hint="eastAsia" w:ascii="仿宋" w:hAnsi="仿宋" w:eastAsia="仿宋" w:cs="仿宋"/>
                <w:color w:val="auto"/>
                <w:sz w:val="24"/>
                <w:lang w:bidi="ar"/>
              </w:rPr>
              <w:t>（U盘，与纸质版保持一致）。</w:t>
            </w:r>
          </w:p>
          <w:p w14:paraId="32A32270">
            <w:pPr>
              <w:widowControl/>
              <w:adjustRightInd w:val="0"/>
              <w:snapToGrid w:val="0"/>
              <w:spacing w:line="288" w:lineRule="auto"/>
              <w:rPr>
                <w:rFonts w:hint="eastAsia"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响应文件</w:t>
            </w:r>
            <w:r>
              <w:rPr>
                <w:rFonts w:ascii="仿宋" w:hAnsi="仿宋" w:eastAsia="仿宋" w:cs="仿宋"/>
                <w:color w:val="auto"/>
                <w:sz w:val="24"/>
              </w:rPr>
              <w:t>应装订成册，密封递交。</w:t>
            </w:r>
          </w:p>
          <w:p w14:paraId="376CFDF3">
            <w:pPr>
              <w:widowControl/>
              <w:adjustRightInd w:val="0"/>
              <w:snapToGrid w:val="0"/>
              <w:spacing w:line="288" w:lineRule="auto"/>
              <w:rPr>
                <w:rFonts w:hint="eastAsia" w:ascii="仿宋" w:hAnsi="仿宋" w:eastAsia="仿宋" w:cs="仿宋"/>
                <w:color w:val="auto"/>
                <w:sz w:val="24"/>
              </w:rPr>
            </w:pPr>
            <w:r>
              <w:rPr>
                <w:rFonts w:ascii="仿宋" w:hAnsi="仿宋" w:eastAsia="仿宋" w:cs="仿宋"/>
                <w:color w:val="auto"/>
                <w:sz w:val="24"/>
              </w:rPr>
              <w:t>4.递交地点：安徽省合肥市蜀山经济技术开发区电商园四期E座合肥综合性科学中心环境研究院</w:t>
            </w:r>
            <w:r>
              <w:rPr>
                <w:rFonts w:hint="eastAsia" w:ascii="仿宋" w:hAnsi="仿宋" w:eastAsia="仿宋" w:cs="仿宋"/>
                <w:color w:val="auto"/>
                <w:sz w:val="24"/>
              </w:rPr>
              <w:t>5</w:t>
            </w:r>
            <w:r>
              <w:rPr>
                <w:rFonts w:ascii="仿宋" w:hAnsi="仿宋" w:eastAsia="仿宋" w:cs="仿宋"/>
                <w:color w:val="auto"/>
                <w:sz w:val="24"/>
              </w:rPr>
              <w:t>楼</w:t>
            </w:r>
            <w:r>
              <w:rPr>
                <w:rFonts w:hint="eastAsia" w:ascii="仿宋" w:hAnsi="仿宋" w:eastAsia="仿宋" w:cs="仿宋"/>
                <w:color w:val="auto"/>
                <w:sz w:val="24"/>
              </w:rPr>
              <w:t>502</w:t>
            </w:r>
            <w:r>
              <w:rPr>
                <w:rFonts w:ascii="仿宋" w:hAnsi="仿宋" w:eastAsia="仿宋" w:cs="仿宋"/>
                <w:color w:val="auto"/>
                <w:sz w:val="24"/>
              </w:rPr>
              <w:t>室。</w:t>
            </w:r>
          </w:p>
          <w:p w14:paraId="6B573641">
            <w:pPr>
              <w:widowControl/>
              <w:adjustRightInd w:val="0"/>
              <w:snapToGrid w:val="0"/>
              <w:spacing w:line="288" w:lineRule="auto"/>
              <w:rPr>
                <w:rFonts w:hint="eastAsia" w:ascii="仿宋" w:hAnsi="仿宋" w:eastAsia="仿宋" w:cs="仿宋"/>
                <w:color w:val="auto"/>
                <w:sz w:val="24"/>
              </w:rPr>
            </w:pPr>
            <w:r>
              <w:rPr>
                <w:rFonts w:ascii="仿宋" w:hAnsi="仿宋" w:eastAsia="仿宋" w:cs="仿宋"/>
                <w:color w:val="auto"/>
                <w:sz w:val="24"/>
              </w:rPr>
              <w:t>5.逾期送达的、或者未送达指定地点的</w:t>
            </w:r>
            <w:r>
              <w:rPr>
                <w:rFonts w:hint="eastAsia" w:ascii="仿宋" w:hAnsi="仿宋" w:eastAsia="仿宋" w:cs="仿宋"/>
                <w:color w:val="auto"/>
                <w:sz w:val="24"/>
              </w:rPr>
              <w:t>响应</w:t>
            </w:r>
            <w:r>
              <w:rPr>
                <w:rFonts w:ascii="仿宋" w:hAnsi="仿宋" w:eastAsia="仿宋" w:cs="仿宋"/>
                <w:color w:val="auto"/>
                <w:sz w:val="24"/>
              </w:rPr>
              <w:t>文件，不予接收。</w:t>
            </w:r>
          </w:p>
        </w:tc>
      </w:tr>
      <w:tr w14:paraId="7C78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46869617">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5</w:t>
            </w:r>
            <w:r>
              <w:rPr>
                <w:rFonts w:eastAsia="仿宋" w:cs="方正小标宋简体"/>
                <w:color w:val="auto"/>
                <w:sz w:val="24"/>
              </w:rPr>
              <w:t>.1.1</w:t>
            </w:r>
          </w:p>
        </w:tc>
        <w:tc>
          <w:tcPr>
            <w:tcW w:w="1581" w:type="dxa"/>
            <w:tcBorders>
              <w:top w:val="single" w:color="auto" w:sz="4" w:space="0"/>
              <w:left w:val="single" w:color="auto" w:sz="4" w:space="0"/>
              <w:bottom w:val="single" w:color="auto" w:sz="4" w:space="0"/>
              <w:right w:val="single" w:color="auto" w:sz="4" w:space="0"/>
            </w:tcBorders>
            <w:vAlign w:val="center"/>
          </w:tcPr>
          <w:p w14:paraId="3438C5ED">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竞争性磋商小组的组建</w:t>
            </w:r>
          </w:p>
        </w:tc>
        <w:tc>
          <w:tcPr>
            <w:tcW w:w="7229" w:type="dxa"/>
            <w:tcBorders>
              <w:top w:val="single" w:color="auto" w:sz="4" w:space="0"/>
              <w:left w:val="single" w:color="auto" w:sz="4" w:space="0"/>
              <w:bottom w:val="single" w:color="auto" w:sz="4" w:space="0"/>
              <w:right w:val="single" w:color="auto" w:sz="4" w:space="0"/>
            </w:tcBorders>
            <w:vAlign w:val="center"/>
          </w:tcPr>
          <w:p w14:paraId="010DD936">
            <w:pPr>
              <w:widowControl/>
              <w:jc w:val="left"/>
              <w:rPr>
                <w:rFonts w:hint="eastAsia" w:ascii="仿宋" w:hAnsi="仿宋" w:eastAsia="仿宋" w:cs="仿宋"/>
                <w:color w:val="auto"/>
                <w:sz w:val="24"/>
                <w:u w:val="single"/>
              </w:rPr>
            </w:pPr>
            <w:r>
              <w:rPr>
                <w:rFonts w:hint="eastAsia" w:ascii="仿宋" w:hAnsi="仿宋" w:eastAsia="仿宋" w:cs="仿宋"/>
                <w:color w:val="auto"/>
                <w:sz w:val="24"/>
                <w:lang w:bidi="ar"/>
              </w:rPr>
              <w:t>竞争性磋商小组的组成：</w:t>
            </w:r>
            <w:r>
              <w:rPr>
                <w:rFonts w:hint="eastAsia" w:ascii="仿宋" w:hAnsi="仿宋" w:eastAsia="仿宋" w:cs="仿宋"/>
                <w:color w:val="auto"/>
                <w:sz w:val="24"/>
                <w:u w:val="single"/>
                <w:lang w:bidi="ar"/>
              </w:rPr>
              <w:t>由采购人组建</w:t>
            </w:r>
          </w:p>
          <w:p w14:paraId="0B52A45E">
            <w:pPr>
              <w:widowControl/>
              <w:adjustRightInd w:val="0"/>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竞争性磋商小组的人数：</w:t>
            </w:r>
            <w:r>
              <w:rPr>
                <w:rFonts w:hint="eastAsia" w:ascii="仿宋" w:hAnsi="仿宋" w:eastAsia="仿宋" w:cs="仿宋"/>
                <w:color w:val="auto"/>
                <w:sz w:val="24"/>
                <w:u w:val="single"/>
              </w:rPr>
              <w:t>3人及以上单数组成</w:t>
            </w:r>
          </w:p>
        </w:tc>
      </w:tr>
      <w:tr w14:paraId="7EE5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317B96FD">
            <w:pPr>
              <w:widowControl/>
              <w:adjustRightInd w:val="0"/>
              <w:snapToGrid w:val="0"/>
              <w:spacing w:line="288" w:lineRule="auto"/>
              <w:jc w:val="center"/>
              <w:rPr>
                <w:rFonts w:cs="方正小标宋简体"/>
                <w:color w:val="auto"/>
                <w:sz w:val="24"/>
              </w:rPr>
            </w:pPr>
            <w:r>
              <w:rPr>
                <w:rFonts w:hint="eastAsia" w:cs="方正小标宋简体"/>
                <w:color w:val="auto"/>
                <w:sz w:val="24"/>
              </w:rPr>
              <w:t>5.4.2</w:t>
            </w:r>
          </w:p>
        </w:tc>
        <w:tc>
          <w:tcPr>
            <w:tcW w:w="1581" w:type="dxa"/>
            <w:tcBorders>
              <w:top w:val="single" w:color="auto" w:sz="4" w:space="0"/>
              <w:left w:val="single" w:color="auto" w:sz="4" w:space="0"/>
              <w:bottom w:val="single" w:color="auto" w:sz="4" w:space="0"/>
              <w:right w:val="single" w:color="auto" w:sz="4" w:space="0"/>
            </w:tcBorders>
            <w:vAlign w:val="center"/>
          </w:tcPr>
          <w:p w14:paraId="6D5C33CF">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竞争性磋商小组推荐成交候选人的人数</w:t>
            </w:r>
          </w:p>
        </w:tc>
        <w:tc>
          <w:tcPr>
            <w:tcW w:w="7229" w:type="dxa"/>
            <w:tcBorders>
              <w:top w:val="single" w:color="auto" w:sz="4" w:space="0"/>
              <w:left w:val="single" w:color="auto" w:sz="4" w:space="0"/>
              <w:bottom w:val="single" w:color="auto" w:sz="4" w:space="0"/>
              <w:right w:val="single" w:color="auto" w:sz="4" w:space="0"/>
            </w:tcBorders>
            <w:vAlign w:val="center"/>
          </w:tcPr>
          <w:p w14:paraId="053C8C7B">
            <w:pPr>
              <w:widowControl/>
              <w:adjustRightInd w:val="0"/>
              <w:snapToGrid w:val="0"/>
              <w:spacing w:line="288" w:lineRule="auto"/>
              <w:rPr>
                <w:rFonts w:hint="eastAsia" w:ascii="仿宋" w:hAnsi="仿宋" w:eastAsia="仿宋" w:cs="仿宋"/>
                <w:color w:val="auto"/>
                <w:sz w:val="24"/>
                <w:u w:val="single"/>
              </w:rPr>
            </w:pPr>
            <w:r>
              <w:rPr>
                <w:rFonts w:hint="eastAsia" w:ascii="仿宋" w:hAnsi="仿宋" w:eastAsia="仿宋" w:cs="仿宋"/>
                <w:color w:val="auto"/>
                <w:sz w:val="24"/>
                <w:lang w:bidi="ar"/>
              </w:rPr>
              <w:t>竞争性磋商小组推荐的成交候选人数量：</w:t>
            </w:r>
            <w:r>
              <w:rPr>
                <w:rFonts w:hint="eastAsia" w:ascii="仿宋" w:hAnsi="仿宋" w:eastAsia="仿宋" w:cs="仿宋"/>
                <w:color w:val="auto"/>
                <w:sz w:val="24"/>
                <w:u w:val="single"/>
                <w:lang w:bidi="ar"/>
              </w:rPr>
              <w:t>3名</w:t>
            </w:r>
          </w:p>
        </w:tc>
      </w:tr>
      <w:tr w14:paraId="677A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58263EA2">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6</w:t>
            </w:r>
            <w:r>
              <w:rPr>
                <w:rFonts w:eastAsia="仿宋" w:cs="方正小标宋简体"/>
                <w:color w:val="auto"/>
                <w:sz w:val="24"/>
              </w:rPr>
              <w:t>.1.1</w:t>
            </w:r>
          </w:p>
        </w:tc>
        <w:tc>
          <w:tcPr>
            <w:tcW w:w="1581" w:type="dxa"/>
            <w:tcBorders>
              <w:top w:val="single" w:color="auto" w:sz="4" w:space="0"/>
              <w:left w:val="single" w:color="auto" w:sz="4" w:space="0"/>
              <w:bottom w:val="single" w:color="auto" w:sz="4" w:space="0"/>
              <w:right w:val="single" w:color="auto" w:sz="4" w:space="0"/>
            </w:tcBorders>
            <w:vAlign w:val="center"/>
          </w:tcPr>
          <w:p w14:paraId="4E3DC1F7">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是否授权竞争性磋商小组确定成交供应商</w:t>
            </w:r>
          </w:p>
        </w:tc>
        <w:tc>
          <w:tcPr>
            <w:tcW w:w="7229" w:type="dxa"/>
            <w:tcBorders>
              <w:top w:val="single" w:color="auto" w:sz="4" w:space="0"/>
              <w:left w:val="single" w:color="auto" w:sz="4" w:space="0"/>
              <w:bottom w:val="single" w:color="auto" w:sz="4" w:space="0"/>
              <w:right w:val="single" w:color="auto" w:sz="4" w:space="0"/>
            </w:tcBorders>
            <w:vAlign w:val="center"/>
          </w:tcPr>
          <w:p w14:paraId="3246F6E6">
            <w:pPr>
              <w:widowControl/>
              <w:adjustRightInd w:val="0"/>
              <w:snapToGrid w:val="0"/>
              <w:spacing w:line="288" w:lineRule="auto"/>
              <w:rPr>
                <w:rFonts w:cs="方正小标宋简体"/>
                <w:color w:val="auto"/>
                <w:sz w:val="24"/>
              </w:rPr>
            </w:pPr>
            <w:r>
              <w:rPr>
                <w:rFonts w:eastAsia="仿宋" w:cs="方正小标宋简体"/>
                <w:color w:val="auto"/>
                <w:sz w:val="24"/>
              </w:rPr>
              <w:sym w:font="Wingdings 2" w:char="0052"/>
            </w:r>
            <w:r>
              <w:rPr>
                <w:rFonts w:hint="eastAsia" w:eastAsia="仿宋" w:cs="方正小标宋简体"/>
                <w:color w:val="auto"/>
                <w:sz w:val="24"/>
              </w:rPr>
              <w:t>否</w:t>
            </w:r>
            <w:r>
              <w:rPr>
                <w:rFonts w:eastAsia="仿宋" w:cs="方正小标宋简体"/>
                <w:color w:val="auto"/>
                <w:sz w:val="24"/>
              </w:rPr>
              <w:t xml:space="preserve">    </w:t>
            </w:r>
            <w:r>
              <w:rPr>
                <w:rFonts w:hint="eastAsia" w:eastAsia="仿宋" w:cs="方正小标宋简体"/>
                <w:color w:val="auto"/>
                <w:sz w:val="24"/>
              </w:rPr>
              <w:t>□是</w:t>
            </w:r>
          </w:p>
        </w:tc>
      </w:tr>
      <w:tr w14:paraId="3739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6800CEDD">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6</w:t>
            </w:r>
            <w:r>
              <w:rPr>
                <w:rFonts w:eastAsia="仿宋" w:cs="方正小标宋简体"/>
                <w:color w:val="auto"/>
                <w:sz w:val="24"/>
              </w:rPr>
              <w:t>.1.2</w:t>
            </w:r>
          </w:p>
        </w:tc>
        <w:tc>
          <w:tcPr>
            <w:tcW w:w="1581" w:type="dxa"/>
            <w:tcBorders>
              <w:top w:val="single" w:color="auto" w:sz="4" w:space="0"/>
              <w:left w:val="single" w:color="auto" w:sz="4" w:space="0"/>
              <w:bottom w:val="single" w:color="auto" w:sz="4" w:space="0"/>
              <w:right w:val="single" w:color="auto" w:sz="4" w:space="0"/>
            </w:tcBorders>
            <w:vAlign w:val="center"/>
          </w:tcPr>
          <w:p w14:paraId="020CD685">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成交结果公告</w:t>
            </w:r>
          </w:p>
        </w:tc>
        <w:tc>
          <w:tcPr>
            <w:tcW w:w="7229" w:type="dxa"/>
            <w:tcBorders>
              <w:top w:val="single" w:color="auto" w:sz="4" w:space="0"/>
              <w:left w:val="single" w:color="auto" w:sz="4" w:space="0"/>
              <w:bottom w:val="single" w:color="auto" w:sz="4" w:space="0"/>
              <w:right w:val="single" w:color="auto" w:sz="4" w:space="0"/>
            </w:tcBorders>
            <w:vAlign w:val="center"/>
          </w:tcPr>
          <w:p w14:paraId="418E64D0">
            <w:pPr>
              <w:widowControl/>
              <w:adjustRightInd w:val="0"/>
              <w:snapToGrid w:val="0"/>
              <w:spacing w:line="288" w:lineRule="auto"/>
              <w:jc w:val="left"/>
              <w:rPr>
                <w:rFonts w:eastAsia="仿宋" w:cs="方正小标宋简体"/>
                <w:color w:val="auto"/>
                <w:sz w:val="24"/>
              </w:rPr>
            </w:pPr>
            <w:r>
              <w:rPr>
                <w:rFonts w:hint="eastAsia" w:eastAsia="仿宋" w:cs="方正小标宋简体"/>
                <w:color w:val="auto"/>
                <w:sz w:val="24"/>
                <w:lang w:bidi="ar"/>
              </w:rPr>
              <w:t>公告方式：在发布竞争性磋商公告的媒介上发布本项目成交结果公告；</w:t>
            </w:r>
          </w:p>
          <w:p w14:paraId="0EBE57C2">
            <w:pPr>
              <w:widowControl/>
              <w:adjustRightInd w:val="0"/>
              <w:snapToGrid w:val="0"/>
              <w:spacing w:line="288" w:lineRule="auto"/>
              <w:jc w:val="left"/>
              <w:rPr>
                <w:rFonts w:cs="方正小标宋简体"/>
                <w:color w:val="auto"/>
                <w:sz w:val="24"/>
              </w:rPr>
            </w:pPr>
            <w:r>
              <w:rPr>
                <w:rFonts w:hint="eastAsia" w:eastAsia="仿宋" w:cs="方正小标宋简体"/>
                <w:color w:val="auto"/>
                <w:sz w:val="24"/>
              </w:rPr>
              <w:t>成交公告期限：</w:t>
            </w:r>
            <w:r>
              <w:rPr>
                <w:rFonts w:eastAsia="仿宋" w:cs="方正小标宋简体"/>
                <w:color w:val="auto"/>
                <w:sz w:val="24"/>
              </w:rPr>
              <w:t>1</w:t>
            </w:r>
            <w:r>
              <w:rPr>
                <w:rFonts w:hint="eastAsia" w:eastAsia="仿宋" w:cs="方正小标宋简体"/>
                <w:color w:val="auto"/>
                <w:sz w:val="24"/>
              </w:rPr>
              <w:t>个工作日。</w:t>
            </w:r>
          </w:p>
        </w:tc>
      </w:tr>
      <w:tr w14:paraId="7256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31882873">
            <w:pPr>
              <w:widowControl/>
              <w:adjustRightInd w:val="0"/>
              <w:snapToGrid w:val="0"/>
              <w:spacing w:line="288" w:lineRule="auto"/>
              <w:jc w:val="center"/>
              <w:rPr>
                <w:rFonts w:cs="方正小标宋简体"/>
                <w:color w:val="auto"/>
                <w:sz w:val="24"/>
              </w:rPr>
            </w:pPr>
            <w:r>
              <w:rPr>
                <w:rFonts w:eastAsia="仿宋" w:cs="方正小标宋简体"/>
                <w:color w:val="auto"/>
                <w:sz w:val="24"/>
              </w:rPr>
              <w:t>7.5.1</w:t>
            </w:r>
          </w:p>
        </w:tc>
        <w:tc>
          <w:tcPr>
            <w:tcW w:w="1581" w:type="dxa"/>
            <w:tcBorders>
              <w:top w:val="single" w:color="auto" w:sz="4" w:space="0"/>
              <w:left w:val="single" w:color="auto" w:sz="4" w:space="0"/>
              <w:bottom w:val="single" w:color="auto" w:sz="4" w:space="0"/>
              <w:right w:val="single" w:color="auto" w:sz="4" w:space="0"/>
            </w:tcBorders>
            <w:vAlign w:val="center"/>
          </w:tcPr>
          <w:p w14:paraId="4F848A95">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合同签订时间</w:t>
            </w:r>
          </w:p>
        </w:tc>
        <w:tc>
          <w:tcPr>
            <w:tcW w:w="7229" w:type="dxa"/>
            <w:tcBorders>
              <w:top w:val="single" w:color="auto" w:sz="4" w:space="0"/>
              <w:left w:val="single" w:color="auto" w:sz="4" w:space="0"/>
              <w:bottom w:val="single" w:color="auto" w:sz="4" w:space="0"/>
              <w:right w:val="single" w:color="auto" w:sz="4" w:space="0"/>
            </w:tcBorders>
            <w:vAlign w:val="center"/>
          </w:tcPr>
          <w:p w14:paraId="2AC568EC">
            <w:pPr>
              <w:pStyle w:val="9"/>
              <w:widowControl/>
              <w:adjustRightInd w:val="0"/>
              <w:snapToGrid w:val="0"/>
              <w:spacing w:line="288" w:lineRule="auto"/>
              <w:rPr>
                <w:rFonts w:ascii="仿宋" w:hAnsi="仿宋" w:eastAsia="仿宋" w:cs="仿宋"/>
                <w:color w:val="auto"/>
                <w:sz w:val="24"/>
                <w:szCs w:val="24"/>
              </w:rPr>
            </w:pPr>
            <w:r>
              <w:rPr>
                <w:rFonts w:ascii="仿宋" w:hAnsi="仿宋" w:eastAsia="仿宋" w:cs="仿宋"/>
                <w:color w:val="auto"/>
                <w:sz w:val="24"/>
                <w:szCs w:val="24"/>
              </w:rPr>
              <w:t>结果公告公示期结束后30日内</w:t>
            </w:r>
          </w:p>
        </w:tc>
      </w:tr>
      <w:tr w14:paraId="38E2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0A6A2C30">
            <w:pPr>
              <w:widowControl/>
              <w:adjustRightInd w:val="0"/>
              <w:snapToGrid w:val="0"/>
              <w:spacing w:line="288" w:lineRule="auto"/>
              <w:jc w:val="center"/>
              <w:rPr>
                <w:rFonts w:cs="方正小标宋简体"/>
                <w:b/>
                <w:color w:val="auto"/>
                <w:sz w:val="24"/>
              </w:rPr>
            </w:pPr>
            <w:r>
              <w:rPr>
                <w:rFonts w:hint="eastAsia" w:cs="方正小标宋简体"/>
                <w:b/>
                <w:color w:val="auto"/>
                <w:sz w:val="24"/>
              </w:rPr>
              <w:t>9</w:t>
            </w:r>
          </w:p>
        </w:tc>
        <w:tc>
          <w:tcPr>
            <w:tcW w:w="1581" w:type="dxa"/>
            <w:tcBorders>
              <w:top w:val="single" w:color="auto" w:sz="4" w:space="0"/>
              <w:left w:val="single" w:color="auto" w:sz="4" w:space="0"/>
              <w:bottom w:val="single" w:color="auto" w:sz="4" w:space="0"/>
              <w:right w:val="single" w:color="auto" w:sz="4" w:space="0"/>
            </w:tcBorders>
            <w:vAlign w:val="center"/>
          </w:tcPr>
          <w:p w14:paraId="262DDF1E">
            <w:pPr>
              <w:widowControl/>
              <w:adjustRightInd w:val="0"/>
              <w:snapToGrid w:val="0"/>
              <w:spacing w:line="288" w:lineRule="auto"/>
              <w:jc w:val="center"/>
              <w:rPr>
                <w:rFonts w:cs="方正小标宋简体"/>
                <w:b/>
                <w:color w:val="auto"/>
                <w:sz w:val="24"/>
              </w:rPr>
            </w:pPr>
          </w:p>
        </w:tc>
        <w:tc>
          <w:tcPr>
            <w:tcW w:w="7229" w:type="dxa"/>
            <w:tcBorders>
              <w:top w:val="single" w:color="auto" w:sz="4" w:space="0"/>
              <w:left w:val="single" w:color="auto" w:sz="4" w:space="0"/>
              <w:bottom w:val="single" w:color="auto" w:sz="4" w:space="0"/>
              <w:right w:val="single" w:color="auto" w:sz="4" w:space="0"/>
            </w:tcBorders>
            <w:vAlign w:val="center"/>
          </w:tcPr>
          <w:p w14:paraId="48D545C9">
            <w:pPr>
              <w:widowControl/>
              <w:adjustRightInd w:val="0"/>
              <w:snapToGrid w:val="0"/>
              <w:spacing w:line="288" w:lineRule="auto"/>
              <w:jc w:val="center"/>
              <w:rPr>
                <w:b/>
                <w:color w:val="auto"/>
                <w:sz w:val="24"/>
              </w:rPr>
            </w:pPr>
            <w:r>
              <w:rPr>
                <w:rFonts w:hint="eastAsia" w:eastAsia="仿宋" w:cs="方正小标宋简体"/>
                <w:b/>
                <w:color w:val="auto"/>
                <w:sz w:val="24"/>
              </w:rPr>
              <w:t>需要补充的其他内容</w:t>
            </w:r>
          </w:p>
        </w:tc>
      </w:tr>
      <w:tr w14:paraId="77EA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67FEB4D">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9.1</w:t>
            </w:r>
          </w:p>
        </w:tc>
        <w:tc>
          <w:tcPr>
            <w:tcW w:w="1581" w:type="dxa"/>
            <w:tcBorders>
              <w:top w:val="single" w:color="auto" w:sz="4" w:space="0"/>
              <w:left w:val="single" w:color="auto" w:sz="4" w:space="0"/>
              <w:bottom w:val="single" w:color="auto" w:sz="4" w:space="0"/>
              <w:right w:val="single" w:color="auto" w:sz="4" w:space="0"/>
            </w:tcBorders>
            <w:vAlign w:val="center"/>
          </w:tcPr>
          <w:p w14:paraId="2472E2E2">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知识产权</w:t>
            </w:r>
          </w:p>
        </w:tc>
        <w:tc>
          <w:tcPr>
            <w:tcW w:w="7229" w:type="dxa"/>
            <w:tcBorders>
              <w:top w:val="single" w:color="auto" w:sz="4" w:space="0"/>
              <w:left w:val="single" w:color="auto" w:sz="4" w:space="0"/>
              <w:bottom w:val="single" w:color="auto" w:sz="4" w:space="0"/>
              <w:right w:val="single" w:color="auto" w:sz="4" w:space="0"/>
            </w:tcBorders>
          </w:tcPr>
          <w:p w14:paraId="6676BFF5">
            <w:pPr>
              <w:adjustRightInd w:val="0"/>
              <w:snapToGrid w:val="0"/>
              <w:spacing w:line="288" w:lineRule="auto"/>
              <w:jc w:val="left"/>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s="仿宋"/>
                <w:color w:val="auto"/>
                <w:sz w:val="24"/>
                <w:lang w:bidi="ar"/>
              </w:rPr>
              <w:t>）构成本竞争性磋商文件各个组成部分的文件，未经采购人书面同意，供应商不得擅自复印和用于非本招标采购项目所需的其他目的。如因此导致采购人损失的，供应商须承担全部赔偿责任。</w:t>
            </w:r>
          </w:p>
          <w:p w14:paraId="74AEFB42">
            <w:pPr>
              <w:adjustRightInd w:val="0"/>
              <w:snapToGrid w:val="0"/>
              <w:spacing w:line="288" w:lineRule="auto"/>
              <w:jc w:val="left"/>
              <w:rPr>
                <w:color w:val="auto"/>
                <w:sz w:val="24"/>
              </w:rPr>
            </w:pPr>
            <w:r>
              <w:rPr>
                <w:rFonts w:hint="eastAsia" w:eastAsia="仿宋" w:cs="仿宋"/>
                <w:color w:val="auto"/>
                <w:sz w:val="24"/>
              </w:rPr>
              <w:t>（</w:t>
            </w:r>
            <w:r>
              <w:rPr>
                <w:rFonts w:eastAsia="仿宋"/>
                <w:color w:val="auto"/>
                <w:sz w:val="24"/>
              </w:rPr>
              <w:t>2</w:t>
            </w:r>
            <w:r>
              <w:rPr>
                <w:rFonts w:hint="eastAsia" w:eastAsia="仿宋" w:cs="仿宋"/>
                <w:color w:val="auto"/>
                <w:sz w:val="24"/>
              </w:rPr>
              <w:t>）采购人在中华人民共和国境内使用成交货物（服务）、资料、技术、服务或其任何一部分时，履行合同义务后，享有不受限制的无偿使用权，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tc>
      </w:tr>
      <w:tr w14:paraId="6454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689B6CB7">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9.2</w:t>
            </w:r>
          </w:p>
        </w:tc>
        <w:tc>
          <w:tcPr>
            <w:tcW w:w="1581" w:type="dxa"/>
            <w:tcBorders>
              <w:top w:val="single" w:color="auto" w:sz="4" w:space="0"/>
              <w:left w:val="single" w:color="auto" w:sz="4" w:space="0"/>
              <w:bottom w:val="single" w:color="auto" w:sz="4" w:space="0"/>
              <w:right w:val="single" w:color="auto" w:sz="4" w:space="0"/>
            </w:tcBorders>
            <w:vAlign w:val="center"/>
          </w:tcPr>
          <w:p w14:paraId="2DA6A2D7">
            <w:pPr>
              <w:widowControl/>
              <w:adjustRightInd w:val="0"/>
              <w:snapToGrid w:val="0"/>
              <w:spacing w:line="288" w:lineRule="auto"/>
              <w:jc w:val="center"/>
              <w:rPr>
                <w:rFonts w:cs="方正小标宋简体"/>
                <w:color w:val="auto"/>
                <w:sz w:val="24"/>
              </w:rPr>
            </w:pPr>
            <w:r>
              <w:rPr>
                <w:rFonts w:hint="eastAsia" w:eastAsia="仿宋" w:cs="仿宋"/>
                <w:color w:val="auto"/>
                <w:sz w:val="24"/>
              </w:rPr>
              <w:t>投标专用章、业务专用章等效力规定</w:t>
            </w:r>
          </w:p>
        </w:tc>
        <w:tc>
          <w:tcPr>
            <w:tcW w:w="7229" w:type="dxa"/>
            <w:tcBorders>
              <w:top w:val="single" w:color="auto" w:sz="4" w:space="0"/>
              <w:left w:val="single" w:color="auto" w:sz="4" w:space="0"/>
              <w:bottom w:val="single" w:color="auto" w:sz="4" w:space="0"/>
              <w:right w:val="single" w:color="auto" w:sz="4" w:space="0"/>
            </w:tcBorders>
            <w:vAlign w:val="center"/>
          </w:tcPr>
          <w:p w14:paraId="6CC1DD55">
            <w:pPr>
              <w:widowControl/>
              <w:snapToGrid w:val="0"/>
              <w:spacing w:line="288" w:lineRule="auto"/>
              <w:jc w:val="left"/>
              <w:rPr>
                <w:color w:val="auto"/>
                <w:sz w:val="24"/>
              </w:rPr>
            </w:pPr>
            <w:r>
              <w:rPr>
                <w:rFonts w:hint="eastAsia" w:eastAsia="仿宋" w:cs="仿宋"/>
                <w:color w:val="auto"/>
                <w:sz w:val="24"/>
              </w:rPr>
              <w:t>竞争性磋商文件中明确要求加盖公章的，供应商必须加盖供应商公章。在有授权文件</w:t>
            </w:r>
            <w:r>
              <w:rPr>
                <w:rFonts w:eastAsia="仿宋"/>
                <w:color w:val="auto"/>
                <w:sz w:val="24"/>
              </w:rPr>
              <w:t>(</w:t>
            </w:r>
            <w:r>
              <w:rPr>
                <w:rFonts w:hint="eastAsia" w:eastAsia="仿宋" w:cs="仿宋"/>
                <w:color w:val="auto"/>
                <w:sz w:val="24"/>
              </w:rPr>
              <w:t>原件</w:t>
            </w:r>
            <w:r>
              <w:rPr>
                <w:rFonts w:eastAsia="仿宋"/>
                <w:color w:val="auto"/>
                <w:sz w:val="24"/>
              </w:rPr>
              <w:t>)</w:t>
            </w:r>
            <w:r>
              <w:rPr>
                <w:rFonts w:hint="eastAsia" w:eastAsia="仿宋" w:cs="仿宋"/>
                <w:color w:val="auto"/>
                <w:sz w:val="24"/>
              </w:rPr>
              <w:t>表明投标专用章、业务专用章等法律效力等同于供应商公章的情况下，可以加盖投标专用章或业务专用章，否则将导致响应文件无效。</w:t>
            </w:r>
          </w:p>
        </w:tc>
      </w:tr>
      <w:tr w14:paraId="0D04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2933CF47">
            <w:pPr>
              <w:widowControl/>
              <w:adjustRightInd w:val="0"/>
              <w:snapToGrid w:val="0"/>
              <w:spacing w:line="288" w:lineRule="auto"/>
              <w:jc w:val="center"/>
              <w:rPr>
                <w:rFonts w:eastAsia="仿宋" w:cs="方正小标宋简体"/>
                <w:color w:val="auto"/>
                <w:sz w:val="24"/>
              </w:rPr>
            </w:pPr>
            <w:r>
              <w:rPr>
                <w:rFonts w:hint="eastAsia" w:eastAsia="仿宋" w:cs="方正小标宋简体"/>
                <w:color w:val="auto"/>
                <w:sz w:val="24"/>
              </w:rPr>
              <w:t>9.3</w:t>
            </w:r>
          </w:p>
        </w:tc>
        <w:tc>
          <w:tcPr>
            <w:tcW w:w="1581" w:type="dxa"/>
            <w:tcBorders>
              <w:top w:val="single" w:color="auto" w:sz="4" w:space="0"/>
              <w:left w:val="single" w:color="auto" w:sz="4" w:space="0"/>
              <w:bottom w:val="single" w:color="auto" w:sz="4" w:space="0"/>
              <w:right w:val="single" w:color="auto" w:sz="4" w:space="0"/>
            </w:tcBorders>
            <w:vAlign w:val="center"/>
          </w:tcPr>
          <w:p w14:paraId="43A3AFA8">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相关提示</w:t>
            </w:r>
          </w:p>
        </w:tc>
        <w:tc>
          <w:tcPr>
            <w:tcW w:w="7229" w:type="dxa"/>
            <w:tcBorders>
              <w:top w:val="single" w:color="auto" w:sz="4" w:space="0"/>
              <w:left w:val="single" w:color="auto" w:sz="4" w:space="0"/>
              <w:bottom w:val="single" w:color="auto" w:sz="4" w:space="0"/>
              <w:right w:val="single" w:color="auto" w:sz="4" w:space="0"/>
            </w:tcBorders>
            <w:vAlign w:val="center"/>
          </w:tcPr>
          <w:p w14:paraId="7996AA34">
            <w:pPr>
              <w:widowControl/>
              <w:snapToGrid w:val="0"/>
              <w:spacing w:line="288" w:lineRule="auto"/>
              <w:jc w:val="left"/>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s="仿宋"/>
                <w:color w:val="auto"/>
                <w:sz w:val="24"/>
                <w:lang w:bidi="ar"/>
              </w:rPr>
              <w:t>）竞争性磋商文件中所称时间均指北京时间。</w:t>
            </w:r>
          </w:p>
          <w:p w14:paraId="240C757E">
            <w:pPr>
              <w:widowControl/>
              <w:snapToGrid w:val="0"/>
              <w:spacing w:line="288" w:lineRule="auto"/>
              <w:jc w:val="left"/>
              <w:rPr>
                <w:color w:val="auto"/>
                <w:sz w:val="24"/>
              </w:rPr>
            </w:pPr>
            <w:r>
              <w:rPr>
                <w:rFonts w:hint="eastAsia" w:eastAsia="仿宋" w:cs="仿宋"/>
                <w:color w:val="auto"/>
                <w:sz w:val="24"/>
                <w:lang w:bidi="ar"/>
              </w:rPr>
              <w:t>（</w:t>
            </w:r>
            <w:r>
              <w:rPr>
                <w:rFonts w:eastAsia="仿宋"/>
                <w:color w:val="auto"/>
                <w:sz w:val="24"/>
                <w:lang w:bidi="ar"/>
              </w:rPr>
              <w:t>2</w:t>
            </w:r>
            <w:r>
              <w:rPr>
                <w:rFonts w:hint="eastAsia" w:eastAsia="仿宋" w:cs="仿宋"/>
                <w:color w:val="auto"/>
                <w:sz w:val="24"/>
                <w:lang w:bidi="ar"/>
              </w:rPr>
              <w:t>）供应商应注意响应文件递交的地点和响应文件递交截止时间。</w:t>
            </w:r>
          </w:p>
        </w:tc>
      </w:tr>
      <w:tr w14:paraId="5D16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tcBorders>
              <w:top w:val="single" w:color="auto" w:sz="4" w:space="0"/>
              <w:left w:val="single" w:color="auto" w:sz="4" w:space="0"/>
              <w:bottom w:val="single" w:color="auto" w:sz="4" w:space="0"/>
              <w:right w:val="single" w:color="auto" w:sz="4" w:space="0"/>
            </w:tcBorders>
            <w:vAlign w:val="center"/>
          </w:tcPr>
          <w:p w14:paraId="741DC128">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9.4</w:t>
            </w:r>
          </w:p>
        </w:tc>
        <w:tc>
          <w:tcPr>
            <w:tcW w:w="1581" w:type="dxa"/>
            <w:tcBorders>
              <w:top w:val="single" w:color="auto" w:sz="4" w:space="0"/>
              <w:left w:val="single" w:color="auto" w:sz="4" w:space="0"/>
              <w:bottom w:val="single" w:color="auto" w:sz="4" w:space="0"/>
              <w:right w:val="single" w:color="auto" w:sz="4" w:space="0"/>
            </w:tcBorders>
            <w:vAlign w:val="center"/>
          </w:tcPr>
          <w:p w14:paraId="34880D33">
            <w:pPr>
              <w:widowControl/>
              <w:adjustRightInd w:val="0"/>
              <w:snapToGrid w:val="0"/>
              <w:spacing w:line="288" w:lineRule="auto"/>
              <w:jc w:val="center"/>
              <w:rPr>
                <w:rFonts w:cs="方正小标宋简体"/>
                <w:color w:val="auto"/>
                <w:sz w:val="24"/>
              </w:rPr>
            </w:pPr>
            <w:r>
              <w:rPr>
                <w:rFonts w:hint="eastAsia" w:eastAsia="仿宋" w:cs="方正小标宋简体"/>
                <w:color w:val="auto"/>
                <w:sz w:val="24"/>
              </w:rPr>
              <w:t>竞争性磋商文件的解释</w:t>
            </w:r>
          </w:p>
        </w:tc>
        <w:tc>
          <w:tcPr>
            <w:tcW w:w="7229" w:type="dxa"/>
            <w:tcBorders>
              <w:top w:val="single" w:color="auto" w:sz="4" w:space="0"/>
              <w:left w:val="single" w:color="auto" w:sz="4" w:space="0"/>
              <w:bottom w:val="single" w:color="auto" w:sz="4" w:space="0"/>
              <w:right w:val="single" w:color="auto" w:sz="4" w:space="0"/>
            </w:tcBorders>
          </w:tcPr>
          <w:p w14:paraId="626F2622">
            <w:pPr>
              <w:widowControl/>
              <w:adjustRightInd w:val="0"/>
              <w:snapToGrid w:val="0"/>
              <w:spacing w:line="288" w:lineRule="auto"/>
              <w:rPr>
                <w:color w:val="auto"/>
                <w:sz w:val="24"/>
              </w:rPr>
            </w:pPr>
            <w:r>
              <w:rPr>
                <w:rFonts w:hint="eastAsia" w:eastAsia="仿宋" w:cs="仿宋"/>
                <w:color w:val="auto"/>
                <w:sz w:val="24"/>
              </w:rPr>
              <w:t>构成本竞争性磋商文件的各个组成文件应互为解释，互为说明；如有不明确或不一致，除竞争性磋商文件中有特别规定外，仅适用于竞争性磋商阶段规定的，按竞争性磋商公告、供应商须知、评审办法、响应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eastAsia="仿宋" w:cs="仿宋"/>
                <w:bCs/>
                <w:color w:val="auto"/>
                <w:sz w:val="24"/>
              </w:rPr>
              <w:t>由采购人负责解释。</w:t>
            </w:r>
          </w:p>
        </w:tc>
      </w:tr>
    </w:tbl>
    <w:p w14:paraId="4CE648D3">
      <w:pPr>
        <w:widowControl/>
        <w:spacing w:line="360" w:lineRule="auto"/>
        <w:rPr>
          <w:rFonts w:eastAsia="仿宋" w:cs="方正小标宋简体"/>
          <w:b/>
          <w:bCs/>
          <w:color w:val="auto"/>
          <w:sz w:val="24"/>
        </w:rPr>
      </w:pPr>
    </w:p>
    <w:p w14:paraId="3984B1CD">
      <w:pPr>
        <w:rPr>
          <w:rFonts w:eastAsia="仿宋" w:cs="方正书宋简体"/>
          <w:color w:val="auto"/>
          <w:sz w:val="24"/>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bookmarkEnd w:id="35"/>
    <w:bookmarkEnd w:id="36"/>
    <w:bookmarkEnd w:id="37"/>
    <w:bookmarkEnd w:id="38"/>
    <w:p w14:paraId="32A5D592">
      <w:pPr>
        <w:pStyle w:val="3"/>
        <w:widowControl/>
        <w:rPr>
          <w:rFonts w:hint="default" w:ascii="Calibri" w:hAnsi="Calibri" w:eastAsia="仿宋" w:cs="方正书宋简体"/>
          <w:color w:val="auto"/>
          <w:sz w:val="24"/>
          <w:szCs w:val="24"/>
        </w:rPr>
      </w:pPr>
      <w:bookmarkStart w:id="41" w:name="_Toc152042305"/>
      <w:bookmarkStart w:id="42" w:name="_Toc179632546"/>
      <w:bookmarkStart w:id="43" w:name="_Toc342296161"/>
      <w:bookmarkStart w:id="44" w:name="_Toc445554688"/>
      <w:bookmarkStart w:id="45" w:name="_Toc333600682"/>
      <w:bookmarkStart w:id="46" w:name="_Toc152045529"/>
      <w:bookmarkStart w:id="47" w:name="_Toc342297618"/>
      <w:bookmarkStart w:id="48" w:name="_Toc342294713"/>
      <w:bookmarkStart w:id="49" w:name="_Toc338944604"/>
      <w:bookmarkStart w:id="50" w:name="_Toc144974497"/>
      <w:bookmarkStart w:id="51" w:name="_Toc333599658"/>
      <w:bookmarkStart w:id="52" w:name="_Toc466024500"/>
      <w:bookmarkStart w:id="53" w:name="_Toc455587216"/>
      <w:bookmarkStart w:id="54" w:name="_Toc371415920"/>
      <w:bookmarkStart w:id="55" w:name="_Toc458504818"/>
      <w:bookmarkStart w:id="56" w:name="_Toc455587032"/>
      <w:bookmarkStart w:id="57" w:name="_Toc338943699"/>
      <w:r>
        <w:rPr>
          <w:rStyle w:val="19"/>
          <w:rFonts w:hint="default" w:ascii="Calibri" w:hAnsi="Calibri" w:eastAsia="仿宋"/>
          <w:b/>
          <w:bCs/>
          <w:color w:val="auto"/>
          <w:sz w:val="24"/>
          <w:szCs w:val="24"/>
        </w:rPr>
        <w:t xml:space="preserve">1. </w:t>
      </w:r>
      <w:r>
        <w:rPr>
          <w:rStyle w:val="19"/>
          <w:rFonts w:ascii="Calibri" w:hAnsi="Calibri" w:eastAsia="仿宋" w:cs="仿宋"/>
          <w:b/>
          <w:bCs/>
          <w:color w:val="auto"/>
          <w:sz w:val="24"/>
          <w:szCs w:val="24"/>
        </w:rPr>
        <w:t>总则</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EFF228D">
      <w:pPr>
        <w:pStyle w:val="4"/>
        <w:adjustRightInd w:val="0"/>
        <w:ind w:firstLine="482" w:firstLineChars="200"/>
        <w:rPr>
          <w:rFonts w:eastAsia="仿宋"/>
          <w:color w:val="auto"/>
          <w:sz w:val="24"/>
        </w:rPr>
      </w:pPr>
      <w:bookmarkStart w:id="58" w:name="_Toc152045530"/>
      <w:bookmarkStart w:id="59" w:name="_Toc455587217"/>
      <w:bookmarkStart w:id="60" w:name="_Toc342294714"/>
      <w:bookmarkStart w:id="61" w:name="_Toc338944605"/>
      <w:bookmarkStart w:id="62" w:name="_Toc466024501"/>
      <w:bookmarkStart w:id="63" w:name="_Toc458504819"/>
      <w:bookmarkStart w:id="64" w:name="_Toc144974498"/>
      <w:bookmarkStart w:id="65" w:name="_Toc152042306"/>
      <w:bookmarkStart w:id="66" w:name="_Toc179632547"/>
      <w:bookmarkStart w:id="67" w:name="_Toc455587033"/>
      <w:bookmarkStart w:id="68" w:name="_Toc342297619"/>
      <w:bookmarkStart w:id="69" w:name="_Toc371415921"/>
      <w:bookmarkStart w:id="70" w:name="_Toc333600683"/>
      <w:bookmarkStart w:id="71" w:name="_Toc333587853"/>
      <w:bookmarkStart w:id="72" w:name="_Toc445554689"/>
      <w:bookmarkStart w:id="73" w:name="_Toc338943700"/>
      <w:bookmarkStart w:id="74" w:name="_Toc333599659"/>
      <w:bookmarkStart w:id="75" w:name="_Toc342296162"/>
      <w:r>
        <w:rPr>
          <w:rFonts w:eastAsia="仿宋"/>
          <w:color w:val="auto"/>
          <w:sz w:val="24"/>
        </w:rPr>
        <w:t xml:space="preserve">1.1 </w:t>
      </w:r>
      <w:r>
        <w:rPr>
          <w:rFonts w:eastAsia="仿宋" w:cs="仿宋"/>
          <w:color w:val="auto"/>
          <w:sz w:val="24"/>
        </w:rPr>
        <w:t>项目概况</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CDD2CE7">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1.1.1 </w:t>
      </w:r>
      <w:r>
        <w:rPr>
          <w:rFonts w:hint="eastAsia" w:eastAsia="仿宋" w:cs="仿宋"/>
          <w:color w:val="auto"/>
          <w:sz w:val="24"/>
          <w:lang w:bidi="ar"/>
        </w:rPr>
        <w:t>参照《政府采购非招标采购方式管理办法》《政府采购代理机构管理暂行办法》等有关文件规定，结合研究院实际情况，进行采购。</w:t>
      </w:r>
    </w:p>
    <w:p w14:paraId="0C105DCE">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1.1.2 </w:t>
      </w:r>
      <w:r>
        <w:rPr>
          <w:rFonts w:hint="eastAsia" w:eastAsia="仿宋" w:cs="仿宋"/>
          <w:color w:val="auto"/>
          <w:sz w:val="24"/>
          <w:lang w:bidi="ar"/>
        </w:rPr>
        <w:t>采购人：见供应商须知前附表。</w:t>
      </w:r>
    </w:p>
    <w:p w14:paraId="6AEB710A">
      <w:pPr>
        <w:widowControl/>
        <w:adjustRightInd w:val="0"/>
        <w:snapToGrid w:val="0"/>
        <w:spacing w:line="360" w:lineRule="auto"/>
        <w:ind w:firstLine="480" w:firstLineChars="200"/>
        <w:rPr>
          <w:rFonts w:eastAsia="仿宋"/>
          <w:color w:val="auto"/>
          <w:sz w:val="24"/>
        </w:rPr>
      </w:pPr>
      <w:r>
        <w:rPr>
          <w:rFonts w:eastAsia="仿宋"/>
          <w:color w:val="auto"/>
          <w:sz w:val="24"/>
          <w:lang w:bidi="ar"/>
        </w:rPr>
        <w:t>1.1.</w:t>
      </w:r>
      <w:r>
        <w:rPr>
          <w:rFonts w:hint="eastAsia" w:eastAsia="仿宋"/>
          <w:color w:val="auto"/>
          <w:sz w:val="24"/>
          <w:lang w:bidi="ar"/>
        </w:rPr>
        <w:t>3</w:t>
      </w:r>
      <w:r>
        <w:rPr>
          <w:rFonts w:eastAsia="仿宋"/>
          <w:color w:val="auto"/>
          <w:sz w:val="24"/>
          <w:lang w:bidi="ar"/>
        </w:rPr>
        <w:t xml:space="preserve"> </w:t>
      </w:r>
      <w:r>
        <w:rPr>
          <w:rFonts w:hint="eastAsia" w:eastAsia="仿宋" w:cs="仿宋"/>
          <w:color w:val="auto"/>
          <w:sz w:val="24"/>
          <w:lang w:bidi="ar"/>
        </w:rPr>
        <w:t>采购项目名称：见供应商须知前附表。</w:t>
      </w:r>
    </w:p>
    <w:p w14:paraId="655C783A">
      <w:pPr>
        <w:widowControl/>
        <w:adjustRightInd w:val="0"/>
        <w:snapToGrid w:val="0"/>
        <w:spacing w:line="360" w:lineRule="auto"/>
        <w:ind w:firstLine="480" w:firstLineChars="200"/>
        <w:rPr>
          <w:rFonts w:eastAsia="仿宋"/>
          <w:color w:val="auto"/>
          <w:sz w:val="24"/>
        </w:rPr>
      </w:pPr>
      <w:r>
        <w:rPr>
          <w:rFonts w:eastAsia="仿宋"/>
          <w:color w:val="auto"/>
          <w:sz w:val="24"/>
          <w:lang w:bidi="ar"/>
        </w:rPr>
        <w:t>1.1.</w:t>
      </w:r>
      <w:r>
        <w:rPr>
          <w:rFonts w:hint="eastAsia" w:eastAsia="仿宋"/>
          <w:color w:val="auto"/>
          <w:sz w:val="24"/>
          <w:lang w:bidi="ar"/>
        </w:rPr>
        <w:t>4</w:t>
      </w:r>
      <w:r>
        <w:rPr>
          <w:rFonts w:eastAsia="仿宋"/>
          <w:color w:val="auto"/>
          <w:sz w:val="24"/>
          <w:lang w:bidi="ar"/>
        </w:rPr>
        <w:t xml:space="preserve"> </w:t>
      </w:r>
      <w:r>
        <w:rPr>
          <w:rFonts w:hint="eastAsia" w:eastAsia="仿宋" w:cs="仿宋"/>
          <w:color w:val="auto"/>
          <w:sz w:val="24"/>
          <w:lang w:bidi="ar"/>
        </w:rPr>
        <w:t>标段（包别）划分：见供应商须知前附表。</w:t>
      </w:r>
    </w:p>
    <w:p w14:paraId="277D42FB">
      <w:pPr>
        <w:pStyle w:val="4"/>
        <w:adjustRightInd w:val="0"/>
        <w:ind w:firstLine="482" w:firstLineChars="200"/>
        <w:rPr>
          <w:rFonts w:eastAsia="仿宋"/>
          <w:color w:val="auto"/>
          <w:sz w:val="24"/>
        </w:rPr>
      </w:pPr>
      <w:r>
        <w:rPr>
          <w:rFonts w:eastAsia="仿宋"/>
          <w:color w:val="auto"/>
          <w:sz w:val="24"/>
        </w:rPr>
        <w:t xml:space="preserve">1.2 </w:t>
      </w:r>
      <w:r>
        <w:rPr>
          <w:rFonts w:eastAsia="仿宋" w:cs="仿宋"/>
          <w:color w:val="auto"/>
          <w:sz w:val="24"/>
        </w:rPr>
        <w:t>采购需求、服务期限、质量要求和付款方式</w:t>
      </w:r>
    </w:p>
    <w:p w14:paraId="0B7F5EF8">
      <w:pPr>
        <w:widowControl/>
        <w:adjustRightInd w:val="0"/>
        <w:snapToGrid w:val="0"/>
        <w:spacing w:line="360" w:lineRule="auto"/>
        <w:ind w:firstLine="480" w:firstLineChars="200"/>
        <w:rPr>
          <w:rFonts w:hint="eastAsia" w:ascii="宋体" w:hAnsi="宋体" w:eastAsia="仿宋" w:cs="宋体"/>
          <w:color w:val="auto"/>
          <w:sz w:val="24"/>
        </w:rPr>
      </w:pPr>
      <w:r>
        <w:rPr>
          <w:rFonts w:hint="eastAsia" w:ascii="宋体" w:hAnsi="宋体" w:eastAsia="仿宋" w:cs="宋体"/>
          <w:color w:val="auto"/>
          <w:sz w:val="24"/>
          <w:lang w:bidi="ar"/>
        </w:rPr>
        <w:t xml:space="preserve">1.2.1 </w:t>
      </w:r>
      <w:r>
        <w:rPr>
          <w:rFonts w:hint="eastAsia" w:ascii="宋体" w:hAnsi="宋体" w:eastAsia="仿宋" w:cs="仿宋"/>
          <w:color w:val="auto"/>
          <w:sz w:val="24"/>
          <w:lang w:bidi="ar"/>
        </w:rPr>
        <w:t>采购需求：见供应商须知前附表。</w:t>
      </w:r>
    </w:p>
    <w:p w14:paraId="306B0405">
      <w:pPr>
        <w:widowControl/>
        <w:adjustRightInd w:val="0"/>
        <w:snapToGrid w:val="0"/>
        <w:spacing w:line="360" w:lineRule="auto"/>
        <w:ind w:firstLine="480" w:firstLineChars="200"/>
        <w:rPr>
          <w:rFonts w:hint="eastAsia" w:ascii="宋体" w:hAnsi="宋体" w:eastAsia="仿宋" w:cs="宋体"/>
          <w:color w:val="auto"/>
          <w:sz w:val="24"/>
        </w:rPr>
      </w:pPr>
      <w:r>
        <w:rPr>
          <w:rFonts w:hint="eastAsia" w:ascii="宋体" w:hAnsi="宋体" w:eastAsia="仿宋" w:cs="宋体"/>
          <w:color w:val="auto"/>
          <w:sz w:val="24"/>
          <w:lang w:bidi="ar"/>
        </w:rPr>
        <w:t xml:space="preserve">1.2.2 </w:t>
      </w:r>
      <w:r>
        <w:rPr>
          <w:rFonts w:hint="eastAsia" w:ascii="宋体" w:hAnsi="宋体" w:eastAsia="仿宋" w:cs="仿宋"/>
          <w:color w:val="auto"/>
          <w:sz w:val="24"/>
          <w:lang w:bidi="ar"/>
        </w:rPr>
        <w:t>服务期限：见供应商须知前附表。</w:t>
      </w:r>
    </w:p>
    <w:p w14:paraId="148608F0">
      <w:pPr>
        <w:widowControl/>
        <w:adjustRightInd w:val="0"/>
        <w:snapToGrid w:val="0"/>
        <w:spacing w:line="360" w:lineRule="auto"/>
        <w:ind w:firstLine="480" w:firstLineChars="200"/>
        <w:rPr>
          <w:rFonts w:hint="eastAsia" w:ascii="宋体" w:hAnsi="宋体" w:eastAsia="仿宋" w:cs="宋体"/>
          <w:color w:val="auto"/>
          <w:sz w:val="24"/>
        </w:rPr>
      </w:pPr>
      <w:r>
        <w:rPr>
          <w:rFonts w:hint="eastAsia" w:ascii="宋体" w:hAnsi="宋体" w:eastAsia="仿宋" w:cs="宋体"/>
          <w:color w:val="auto"/>
          <w:sz w:val="24"/>
          <w:lang w:bidi="ar"/>
        </w:rPr>
        <w:t xml:space="preserve">1.2.3 </w:t>
      </w:r>
      <w:r>
        <w:rPr>
          <w:rFonts w:hint="eastAsia" w:ascii="宋体" w:hAnsi="宋体" w:eastAsia="仿宋" w:cs="仿宋"/>
          <w:color w:val="auto"/>
          <w:sz w:val="24"/>
          <w:lang w:bidi="ar"/>
        </w:rPr>
        <w:t>质量要求：见供应商须知前附表。</w:t>
      </w:r>
    </w:p>
    <w:p w14:paraId="75119FD9">
      <w:pPr>
        <w:pStyle w:val="4"/>
        <w:adjustRightInd w:val="0"/>
        <w:ind w:firstLine="482" w:firstLineChars="200"/>
        <w:rPr>
          <w:rFonts w:eastAsia="仿宋"/>
          <w:color w:val="auto"/>
          <w:sz w:val="24"/>
        </w:rPr>
      </w:pPr>
      <w:bookmarkStart w:id="76" w:name="_Toc338944609"/>
      <w:bookmarkStart w:id="77" w:name="_Toc445554692"/>
      <w:bookmarkStart w:id="78" w:name="_Toc333599663"/>
      <w:bookmarkStart w:id="79" w:name="_Toc455587219"/>
      <w:bookmarkStart w:id="80" w:name="_Toc333587857"/>
      <w:bookmarkStart w:id="81" w:name="_Toc458504821"/>
      <w:bookmarkStart w:id="82" w:name="_Toc144974502"/>
      <w:bookmarkStart w:id="83" w:name="_Toc455587035"/>
      <w:bookmarkStart w:id="84" w:name="_Toc152042310"/>
      <w:bookmarkStart w:id="85" w:name="_Toc338943704"/>
      <w:bookmarkStart w:id="86" w:name="_Toc333600687"/>
      <w:bookmarkStart w:id="87" w:name="_Toc466024503"/>
      <w:bookmarkStart w:id="88" w:name="_Toc371415924"/>
      <w:bookmarkStart w:id="89" w:name="_Toc342294718"/>
      <w:bookmarkStart w:id="90" w:name="_Toc152045534"/>
      <w:bookmarkStart w:id="91" w:name="_Toc179632551"/>
      <w:bookmarkStart w:id="92" w:name="_Toc342297623"/>
      <w:bookmarkStart w:id="93" w:name="_Toc342296166"/>
      <w:r>
        <w:rPr>
          <w:rFonts w:eastAsia="仿宋"/>
          <w:color w:val="auto"/>
          <w:sz w:val="24"/>
        </w:rPr>
        <w:t xml:space="preserve">1.3 </w:t>
      </w:r>
      <w:r>
        <w:rPr>
          <w:rFonts w:eastAsia="仿宋" w:cs="仿宋"/>
          <w:color w:val="auto"/>
          <w:sz w:val="24"/>
        </w:rPr>
        <w:t>供应商资格要求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02E3EAB">
      <w:pPr>
        <w:widowControl/>
        <w:adjustRightInd w:val="0"/>
        <w:snapToGrid w:val="0"/>
        <w:spacing w:line="360" w:lineRule="auto"/>
        <w:ind w:firstLine="480" w:firstLineChars="200"/>
        <w:rPr>
          <w:rFonts w:eastAsia="仿宋"/>
          <w:color w:val="auto"/>
          <w:sz w:val="24"/>
        </w:rPr>
      </w:pPr>
      <w:r>
        <w:rPr>
          <w:rFonts w:eastAsia="仿宋"/>
          <w:color w:val="auto"/>
          <w:sz w:val="24"/>
          <w:lang w:bidi="ar"/>
        </w:rPr>
        <w:t>1.</w:t>
      </w:r>
      <w:r>
        <w:rPr>
          <w:rFonts w:hint="eastAsia" w:eastAsia="仿宋"/>
          <w:color w:val="auto"/>
          <w:sz w:val="24"/>
          <w:lang w:bidi="ar"/>
        </w:rPr>
        <w:t>3</w:t>
      </w:r>
      <w:r>
        <w:rPr>
          <w:rFonts w:eastAsia="仿宋"/>
          <w:color w:val="auto"/>
          <w:sz w:val="24"/>
          <w:lang w:bidi="ar"/>
        </w:rPr>
        <w:t xml:space="preserve">.1 </w:t>
      </w:r>
      <w:r>
        <w:rPr>
          <w:rFonts w:hint="eastAsia" w:eastAsia="仿宋" w:cs="仿宋"/>
          <w:color w:val="auto"/>
          <w:sz w:val="24"/>
          <w:lang w:bidi="ar"/>
        </w:rPr>
        <w:t>供应商应具备承担本采购项目的资质条件、能力和信誉：</w:t>
      </w:r>
    </w:p>
    <w:p w14:paraId="49270342">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s="仿宋"/>
          <w:color w:val="auto"/>
          <w:sz w:val="24"/>
          <w:lang w:bidi="ar"/>
        </w:rPr>
        <w:t>）资质要求：见供应商须知前附表；</w:t>
      </w:r>
    </w:p>
    <w:p w14:paraId="78B4CC58">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2</w:t>
      </w:r>
      <w:r>
        <w:rPr>
          <w:rFonts w:hint="eastAsia" w:eastAsia="仿宋" w:cs="仿宋"/>
          <w:color w:val="auto"/>
          <w:sz w:val="24"/>
          <w:lang w:bidi="ar"/>
        </w:rPr>
        <w:t>）财务要求：见供应商须知前附表；</w:t>
      </w:r>
    </w:p>
    <w:p w14:paraId="4B105636">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3</w:t>
      </w:r>
      <w:r>
        <w:rPr>
          <w:rFonts w:hint="eastAsia" w:eastAsia="仿宋" w:cs="仿宋"/>
          <w:color w:val="auto"/>
          <w:sz w:val="24"/>
          <w:lang w:bidi="ar"/>
        </w:rPr>
        <w:t>）业绩要求：见供应商须知前附表；</w:t>
      </w:r>
    </w:p>
    <w:p w14:paraId="4CC83467">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4</w:t>
      </w:r>
      <w:r>
        <w:rPr>
          <w:rFonts w:hint="eastAsia" w:eastAsia="仿宋" w:cs="仿宋"/>
          <w:color w:val="auto"/>
          <w:sz w:val="24"/>
          <w:lang w:bidi="ar"/>
        </w:rPr>
        <w:t>）信誉要求：见供应商须知前附表；</w:t>
      </w:r>
    </w:p>
    <w:p w14:paraId="378F24A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5</w:t>
      </w:r>
      <w:r>
        <w:rPr>
          <w:rFonts w:hint="eastAsia" w:eastAsia="仿宋" w:cs="仿宋"/>
          <w:color w:val="auto"/>
          <w:sz w:val="24"/>
          <w:lang w:bidi="ar"/>
        </w:rPr>
        <w:t>）其他要求：见供应商须知前附表。</w:t>
      </w:r>
    </w:p>
    <w:p w14:paraId="097D7D86">
      <w:pPr>
        <w:widowControl/>
        <w:adjustRightInd w:val="0"/>
        <w:snapToGrid w:val="0"/>
        <w:spacing w:line="360" w:lineRule="auto"/>
        <w:ind w:firstLine="480" w:firstLineChars="200"/>
        <w:rPr>
          <w:rFonts w:eastAsia="仿宋"/>
          <w:color w:val="auto"/>
          <w:sz w:val="24"/>
        </w:rPr>
      </w:pPr>
      <w:r>
        <w:rPr>
          <w:rFonts w:eastAsia="仿宋"/>
          <w:color w:val="auto"/>
          <w:sz w:val="24"/>
          <w:lang w:bidi="ar"/>
        </w:rPr>
        <w:t>1.</w:t>
      </w:r>
      <w:r>
        <w:rPr>
          <w:rFonts w:hint="eastAsia" w:eastAsia="仿宋"/>
          <w:color w:val="auto"/>
          <w:sz w:val="24"/>
          <w:lang w:bidi="ar"/>
        </w:rPr>
        <w:t>3</w:t>
      </w:r>
      <w:r>
        <w:rPr>
          <w:rFonts w:eastAsia="仿宋"/>
          <w:color w:val="auto"/>
          <w:sz w:val="24"/>
          <w:lang w:bidi="ar"/>
        </w:rPr>
        <w:t xml:space="preserve">.2 </w:t>
      </w:r>
      <w:r>
        <w:rPr>
          <w:rFonts w:hint="eastAsia" w:eastAsia="仿宋"/>
          <w:color w:val="auto"/>
          <w:sz w:val="24"/>
          <w:lang w:bidi="ar"/>
        </w:rPr>
        <w:t>联合体响应：</w:t>
      </w:r>
      <w:r>
        <w:rPr>
          <w:rFonts w:hint="eastAsia" w:eastAsia="仿宋" w:cs="仿宋"/>
          <w:color w:val="auto"/>
          <w:sz w:val="24"/>
          <w:lang w:bidi="ar"/>
        </w:rPr>
        <w:t>见供应商须知前附表。</w:t>
      </w:r>
    </w:p>
    <w:p w14:paraId="2E453E45">
      <w:pPr>
        <w:widowControl/>
        <w:adjustRightInd w:val="0"/>
        <w:snapToGrid w:val="0"/>
        <w:spacing w:line="360" w:lineRule="auto"/>
        <w:ind w:firstLine="480" w:firstLineChars="200"/>
        <w:rPr>
          <w:rFonts w:eastAsia="仿宋"/>
          <w:color w:val="auto"/>
          <w:sz w:val="24"/>
        </w:rPr>
      </w:pPr>
      <w:r>
        <w:rPr>
          <w:rFonts w:eastAsia="仿宋"/>
          <w:color w:val="auto"/>
          <w:sz w:val="24"/>
          <w:lang w:bidi="ar"/>
        </w:rPr>
        <w:t>1.</w:t>
      </w:r>
      <w:r>
        <w:rPr>
          <w:rFonts w:hint="eastAsia" w:eastAsia="仿宋"/>
          <w:color w:val="auto"/>
          <w:sz w:val="24"/>
          <w:lang w:bidi="ar"/>
        </w:rPr>
        <w:t>3</w:t>
      </w:r>
      <w:r>
        <w:rPr>
          <w:rFonts w:eastAsia="仿宋"/>
          <w:color w:val="auto"/>
          <w:sz w:val="24"/>
          <w:lang w:bidi="ar"/>
        </w:rPr>
        <w:t xml:space="preserve">.3 </w:t>
      </w:r>
      <w:r>
        <w:rPr>
          <w:rFonts w:hint="eastAsia" w:eastAsia="仿宋" w:cs="仿宋"/>
          <w:color w:val="auto"/>
          <w:sz w:val="24"/>
          <w:lang w:bidi="ar"/>
        </w:rPr>
        <w:t>供应商</w:t>
      </w:r>
      <w:r>
        <w:rPr>
          <w:rFonts w:hint="eastAsia" w:ascii="Times New Roman" w:eastAsia="仿宋" w:cs="仿宋"/>
          <w:color w:val="auto"/>
          <w:sz w:val="24"/>
          <w:lang w:bidi="ar"/>
        </w:rPr>
        <w:t>（包括联合体各成员）</w:t>
      </w:r>
      <w:r>
        <w:rPr>
          <w:rFonts w:hint="eastAsia" w:eastAsia="仿宋" w:cs="仿宋"/>
          <w:color w:val="auto"/>
          <w:sz w:val="24"/>
          <w:lang w:bidi="ar"/>
        </w:rPr>
        <w:t>不得存在下列情形之一：</w:t>
      </w:r>
    </w:p>
    <w:p w14:paraId="3172A693">
      <w:pPr>
        <w:widowControl/>
        <w:adjustRightInd w:val="0"/>
        <w:snapToGrid w:val="0"/>
        <w:spacing w:line="360" w:lineRule="auto"/>
        <w:ind w:firstLine="480" w:firstLineChars="200"/>
        <w:rPr>
          <w:rFonts w:eastAsia="仿宋"/>
          <w:color w:val="auto"/>
          <w:sz w:val="24"/>
        </w:rPr>
      </w:pPr>
      <w:bookmarkStart w:id="94" w:name="_Toc333600688"/>
      <w:bookmarkStart w:id="95" w:name="_Toc338944610"/>
      <w:bookmarkStart w:id="96" w:name="_Toc333587858"/>
      <w:bookmarkStart w:id="97" w:name="_Toc152042311"/>
      <w:bookmarkStart w:id="98" w:name="_Toc342297624"/>
      <w:bookmarkStart w:id="99" w:name="_Toc342294719"/>
      <w:bookmarkStart w:id="100" w:name="_Toc144974503"/>
      <w:bookmarkStart w:id="101" w:name="_Toc338943705"/>
      <w:bookmarkStart w:id="102" w:name="_Toc333599664"/>
      <w:bookmarkStart w:id="103" w:name="_Toc179632552"/>
      <w:bookmarkStart w:id="104" w:name="_Toc342296167"/>
      <w:bookmarkStart w:id="105" w:name="_Toc152045535"/>
      <w:r>
        <w:rPr>
          <w:rFonts w:hint="eastAsia" w:eastAsia="仿宋" w:cs="仿宋"/>
          <w:color w:val="auto"/>
          <w:sz w:val="24"/>
          <w:lang w:bidi="ar"/>
        </w:rPr>
        <w:t>（</w:t>
      </w:r>
      <w:r>
        <w:rPr>
          <w:rFonts w:hint="eastAsia" w:eastAsia="仿宋"/>
          <w:color w:val="auto"/>
          <w:sz w:val="24"/>
          <w:lang w:bidi="ar"/>
        </w:rPr>
        <w:t>1</w:t>
      </w:r>
      <w:r>
        <w:rPr>
          <w:rFonts w:hint="eastAsia" w:eastAsia="仿宋" w:cs="仿宋"/>
          <w:color w:val="auto"/>
          <w:sz w:val="24"/>
          <w:lang w:bidi="ar"/>
        </w:rPr>
        <w:t>）为采购人不具有独立承担民事责任能力的附属机构的；</w:t>
      </w:r>
    </w:p>
    <w:p w14:paraId="166D1026">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2</w:t>
      </w:r>
      <w:r>
        <w:rPr>
          <w:rFonts w:hint="eastAsia" w:eastAsia="仿宋" w:cs="仿宋"/>
          <w:color w:val="auto"/>
          <w:sz w:val="24"/>
          <w:lang w:bidi="ar"/>
        </w:rPr>
        <w:t>）与采购人存在利害关系且可能影响采购公正性的；</w:t>
      </w:r>
    </w:p>
    <w:p w14:paraId="711144DD">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3</w:t>
      </w:r>
      <w:r>
        <w:rPr>
          <w:rFonts w:hint="eastAsia" w:eastAsia="仿宋" w:cs="仿宋"/>
          <w:color w:val="auto"/>
          <w:sz w:val="24"/>
          <w:lang w:bidi="ar"/>
        </w:rPr>
        <w:t>）由本采购项目采购人代理参加采购活动，或者接受过本采购项目的采购人为本采购项目提供咨询的；</w:t>
      </w:r>
    </w:p>
    <w:p w14:paraId="3E8BC1EE">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4</w:t>
      </w:r>
      <w:r>
        <w:rPr>
          <w:rFonts w:hint="eastAsia" w:eastAsia="仿宋" w:cs="仿宋"/>
          <w:color w:val="auto"/>
          <w:sz w:val="24"/>
          <w:lang w:bidi="ar"/>
        </w:rPr>
        <w:t>）被责令停产停业、暂扣或者吊销许可证、暂扣或者吊销执照的；</w:t>
      </w:r>
    </w:p>
    <w:p w14:paraId="129B93D1">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5</w:t>
      </w:r>
      <w:r>
        <w:rPr>
          <w:rFonts w:hint="eastAsia" w:eastAsia="仿宋" w:cs="仿宋"/>
          <w:color w:val="auto"/>
          <w:sz w:val="24"/>
          <w:lang w:bidi="ar"/>
        </w:rPr>
        <w:t>）进入清算程序，或被宣告破产，或其他丧失履约能力的情形的；</w:t>
      </w:r>
    </w:p>
    <w:p w14:paraId="75826FEC">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6</w:t>
      </w:r>
      <w:r>
        <w:rPr>
          <w:rFonts w:hint="eastAsia" w:eastAsia="仿宋" w:cs="仿宋"/>
          <w:color w:val="auto"/>
          <w:sz w:val="24"/>
          <w:lang w:bidi="ar"/>
        </w:rPr>
        <w:t>）与本项目其他供应商的单位负责人为同一人或者存在直接控股、管理关系的不同供应商的；</w:t>
      </w:r>
    </w:p>
    <w:p w14:paraId="280C9703">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7</w:t>
      </w:r>
      <w:r>
        <w:rPr>
          <w:rFonts w:hint="eastAsia" w:eastAsia="仿宋" w:cs="仿宋"/>
          <w:color w:val="auto"/>
          <w:sz w:val="24"/>
          <w:lang w:bidi="ar"/>
        </w:rPr>
        <w:t>）被依法禁止参加政府采购活动并在有效期内的；</w:t>
      </w:r>
    </w:p>
    <w:p w14:paraId="060A25AF">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8</w:t>
      </w:r>
      <w:r>
        <w:rPr>
          <w:rFonts w:hint="eastAsia" w:eastAsia="仿宋" w:cs="仿宋"/>
          <w:color w:val="auto"/>
          <w:sz w:val="24"/>
          <w:lang w:bidi="ar"/>
        </w:rPr>
        <w:t>）为采购项目提供整体设计、规范编制或者项目管理、监理、检测等服务的供应商，不得再参加该采购项目的其他采购活动，具体按财政部财办库〔</w:t>
      </w:r>
      <w:r>
        <w:rPr>
          <w:rFonts w:eastAsia="仿宋"/>
          <w:color w:val="auto"/>
          <w:sz w:val="24"/>
          <w:lang w:bidi="ar"/>
        </w:rPr>
        <w:t>2015</w:t>
      </w:r>
      <w:r>
        <w:rPr>
          <w:rFonts w:hint="eastAsia" w:eastAsia="仿宋" w:cs="仿宋"/>
          <w:color w:val="auto"/>
          <w:sz w:val="24"/>
          <w:lang w:bidi="ar"/>
        </w:rPr>
        <w:t>〕</w:t>
      </w:r>
      <w:r>
        <w:rPr>
          <w:rFonts w:eastAsia="仿宋"/>
          <w:color w:val="auto"/>
          <w:sz w:val="24"/>
          <w:lang w:bidi="ar"/>
        </w:rPr>
        <w:t>295</w:t>
      </w:r>
      <w:r>
        <w:rPr>
          <w:rFonts w:hint="eastAsia" w:eastAsia="仿宋" w:cs="仿宋"/>
          <w:color w:val="auto"/>
          <w:sz w:val="24"/>
          <w:lang w:bidi="ar"/>
        </w:rPr>
        <w:t>号文件规定；</w:t>
      </w:r>
    </w:p>
    <w:p w14:paraId="4E546B03">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hint="eastAsia" w:eastAsia="仿宋"/>
          <w:color w:val="auto"/>
          <w:sz w:val="24"/>
          <w:lang w:bidi="ar"/>
        </w:rPr>
        <w:t>9</w:t>
      </w:r>
      <w:r>
        <w:rPr>
          <w:rFonts w:hint="eastAsia" w:eastAsia="仿宋" w:cs="仿宋"/>
          <w:color w:val="auto"/>
          <w:sz w:val="24"/>
          <w:lang w:bidi="ar"/>
        </w:rPr>
        <w:t>）截至提交首次响应文件截止时间，被人民法院列入失信被执行人名单的；</w:t>
      </w:r>
    </w:p>
    <w:p w14:paraId="179A3406">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olor w:val="auto"/>
          <w:sz w:val="24"/>
          <w:lang w:bidi="ar"/>
        </w:rPr>
        <w:t>0</w:t>
      </w:r>
      <w:r>
        <w:rPr>
          <w:rFonts w:hint="eastAsia" w:eastAsia="仿宋" w:cs="仿宋"/>
          <w:color w:val="auto"/>
          <w:sz w:val="24"/>
          <w:lang w:bidi="ar"/>
        </w:rPr>
        <w:t>）截至提交首次响应文件截止时间，被列入重大税收违法失信主体的；</w:t>
      </w:r>
    </w:p>
    <w:p w14:paraId="11CA8D2B">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olor w:val="auto"/>
          <w:sz w:val="24"/>
          <w:lang w:bidi="ar"/>
        </w:rPr>
        <w:t>1</w:t>
      </w:r>
      <w:r>
        <w:rPr>
          <w:rFonts w:hint="eastAsia" w:eastAsia="仿宋" w:cs="仿宋"/>
          <w:color w:val="auto"/>
          <w:sz w:val="24"/>
          <w:lang w:bidi="ar"/>
        </w:rPr>
        <w:t>）截至提交首次响应文件截止时间，被列入政府采购严重违法失信名单的；</w:t>
      </w:r>
    </w:p>
    <w:p w14:paraId="22966CEF">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olor w:val="auto"/>
          <w:sz w:val="24"/>
          <w:lang w:bidi="ar"/>
        </w:rPr>
        <w:t>2</w:t>
      </w:r>
      <w:r>
        <w:rPr>
          <w:rFonts w:hint="eastAsia" w:eastAsia="仿宋" w:cs="仿宋"/>
          <w:color w:val="auto"/>
          <w:sz w:val="24"/>
          <w:lang w:bidi="ar"/>
        </w:rPr>
        <w:t>）截至提交首次响应文件截止时间，被市场监督管理部门列入经营异常名录或者严重违法失信企业名单的（未按照《企业信息公示暂行条例》（国务院令第</w:t>
      </w:r>
      <w:r>
        <w:rPr>
          <w:rFonts w:eastAsia="仿宋"/>
          <w:color w:val="auto"/>
          <w:sz w:val="24"/>
          <w:lang w:bidi="ar"/>
        </w:rPr>
        <w:t>654</w:t>
      </w:r>
      <w:r>
        <w:rPr>
          <w:rFonts w:hint="eastAsia" w:eastAsia="仿宋" w:cs="仿宋"/>
          <w:color w:val="auto"/>
          <w:sz w:val="24"/>
          <w:lang w:bidi="ar"/>
        </w:rPr>
        <w:t>号）第八条规定的期限公示年度报告被列入经营异常名录的除外）；</w:t>
      </w:r>
    </w:p>
    <w:p w14:paraId="7FDDDD25">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olor w:val="auto"/>
          <w:sz w:val="24"/>
          <w:lang w:bidi="ar"/>
        </w:rPr>
        <w:t>3</w:t>
      </w:r>
      <w:r>
        <w:rPr>
          <w:rFonts w:hint="eastAsia" w:eastAsia="仿宋" w:cs="仿宋"/>
          <w:color w:val="auto"/>
          <w:sz w:val="24"/>
          <w:lang w:bidi="ar"/>
        </w:rPr>
        <w:t>）法律法规规定的其他情形；</w:t>
      </w:r>
    </w:p>
    <w:p w14:paraId="7D79C9DA">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olor w:val="auto"/>
          <w:sz w:val="24"/>
          <w:lang w:bidi="ar"/>
        </w:rPr>
        <w:t>4</w:t>
      </w:r>
      <w:r>
        <w:rPr>
          <w:rFonts w:hint="eastAsia" w:eastAsia="仿宋" w:cs="仿宋"/>
          <w:color w:val="auto"/>
          <w:sz w:val="24"/>
          <w:lang w:bidi="ar"/>
        </w:rPr>
        <w:t>）供应商须知前附表规定的其他情形。</w:t>
      </w:r>
    </w:p>
    <w:p w14:paraId="4441A250">
      <w:pPr>
        <w:pStyle w:val="4"/>
        <w:adjustRightInd w:val="0"/>
        <w:ind w:firstLine="482" w:firstLineChars="200"/>
        <w:rPr>
          <w:rFonts w:eastAsia="仿宋"/>
          <w:color w:val="auto"/>
          <w:sz w:val="24"/>
        </w:rPr>
      </w:pPr>
      <w:bookmarkStart w:id="106" w:name="_Toc455587036"/>
      <w:bookmarkStart w:id="107" w:name="_Toc445554693"/>
      <w:bookmarkStart w:id="108" w:name="_Toc466024504"/>
      <w:bookmarkStart w:id="109" w:name="_Toc455587220"/>
      <w:bookmarkStart w:id="110" w:name="_Toc458504822"/>
      <w:bookmarkStart w:id="111" w:name="_Toc371415925"/>
      <w:r>
        <w:rPr>
          <w:rFonts w:eastAsia="仿宋"/>
          <w:color w:val="auto"/>
          <w:sz w:val="24"/>
        </w:rPr>
        <w:t xml:space="preserve">1.4 </w:t>
      </w:r>
      <w:r>
        <w:rPr>
          <w:rFonts w:eastAsia="仿宋" w:cs="仿宋"/>
          <w:color w:val="auto"/>
          <w:sz w:val="24"/>
        </w:rPr>
        <w:t>费用承担</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4FCA31E">
      <w:pPr>
        <w:widowControl/>
        <w:adjustRightInd w:val="0"/>
        <w:snapToGrid w:val="0"/>
        <w:spacing w:line="360" w:lineRule="auto"/>
        <w:ind w:firstLine="480" w:firstLineChars="200"/>
        <w:rPr>
          <w:rFonts w:eastAsia="仿宋"/>
          <w:color w:val="auto"/>
          <w:sz w:val="24"/>
        </w:rPr>
      </w:pPr>
      <w:bookmarkStart w:id="112" w:name="_Toc466024505"/>
      <w:bookmarkStart w:id="113" w:name="_Toc455587221"/>
      <w:bookmarkStart w:id="114" w:name="_Toc445554694"/>
      <w:bookmarkStart w:id="115" w:name="_Toc455587037"/>
      <w:bookmarkStart w:id="116" w:name="_Toc458504823"/>
      <w:bookmarkStart w:id="117" w:name="_Toc247527560"/>
      <w:bookmarkStart w:id="118" w:name="_Toc152042312"/>
      <w:bookmarkStart w:id="119" w:name="_Toc300834956"/>
      <w:bookmarkStart w:id="120" w:name="_Toc144974504"/>
      <w:bookmarkStart w:id="121" w:name="_Toc152045536"/>
      <w:bookmarkStart w:id="122" w:name="_Toc247513959"/>
      <w:r>
        <w:rPr>
          <w:rFonts w:hint="eastAsia" w:eastAsia="仿宋" w:cs="仿宋"/>
          <w:color w:val="auto"/>
          <w:sz w:val="24"/>
          <w:lang w:bidi="ar"/>
        </w:rPr>
        <w:t>供应商准备和参加采购活动发生的费用自理。</w:t>
      </w:r>
    </w:p>
    <w:p w14:paraId="0B0A7764">
      <w:pPr>
        <w:pStyle w:val="4"/>
        <w:adjustRightInd w:val="0"/>
        <w:ind w:firstLine="482" w:firstLineChars="200"/>
        <w:rPr>
          <w:rFonts w:eastAsia="仿宋"/>
          <w:color w:val="auto"/>
          <w:sz w:val="24"/>
        </w:rPr>
      </w:pPr>
      <w:r>
        <w:rPr>
          <w:rFonts w:eastAsia="仿宋"/>
          <w:color w:val="auto"/>
          <w:sz w:val="24"/>
        </w:rPr>
        <w:t xml:space="preserve">1.5 </w:t>
      </w:r>
      <w:r>
        <w:rPr>
          <w:rFonts w:eastAsia="仿宋" w:cs="仿宋"/>
          <w:color w:val="auto"/>
          <w:sz w:val="24"/>
        </w:rPr>
        <w:t>保密</w:t>
      </w:r>
      <w:bookmarkEnd w:id="112"/>
      <w:bookmarkEnd w:id="113"/>
      <w:bookmarkEnd w:id="114"/>
      <w:bookmarkEnd w:id="115"/>
      <w:bookmarkEnd w:id="116"/>
    </w:p>
    <w:p w14:paraId="2B92E15D">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参与竞争性磋商的各方应当对竞争性磋商文件和响应文件中的商业和技术等秘密保密，否则应当承担相应的法律责任。</w:t>
      </w:r>
    </w:p>
    <w:p w14:paraId="3CDC82CE">
      <w:pPr>
        <w:pStyle w:val="4"/>
        <w:adjustRightInd w:val="0"/>
        <w:ind w:firstLine="482" w:firstLineChars="200"/>
        <w:rPr>
          <w:rFonts w:eastAsia="仿宋"/>
          <w:color w:val="auto"/>
          <w:sz w:val="24"/>
        </w:rPr>
      </w:pPr>
      <w:bookmarkStart w:id="123" w:name="_Toc455587222"/>
      <w:bookmarkStart w:id="124" w:name="_Toc466024506"/>
      <w:bookmarkStart w:id="125" w:name="_Toc458504824"/>
      <w:bookmarkStart w:id="126" w:name="_Toc455587038"/>
      <w:bookmarkStart w:id="127" w:name="_Toc445554695"/>
      <w:r>
        <w:rPr>
          <w:rFonts w:eastAsia="仿宋"/>
          <w:color w:val="auto"/>
          <w:sz w:val="24"/>
        </w:rPr>
        <w:t xml:space="preserve">1.6 </w:t>
      </w:r>
      <w:r>
        <w:rPr>
          <w:rFonts w:eastAsia="仿宋" w:cs="仿宋"/>
          <w:color w:val="auto"/>
          <w:sz w:val="24"/>
        </w:rPr>
        <w:t>语言文字</w:t>
      </w:r>
      <w:bookmarkEnd w:id="117"/>
      <w:bookmarkEnd w:id="118"/>
      <w:bookmarkEnd w:id="119"/>
      <w:bookmarkEnd w:id="120"/>
      <w:bookmarkEnd w:id="121"/>
      <w:bookmarkEnd w:id="122"/>
      <w:bookmarkEnd w:id="123"/>
      <w:bookmarkEnd w:id="124"/>
      <w:bookmarkEnd w:id="125"/>
      <w:bookmarkEnd w:id="126"/>
      <w:bookmarkEnd w:id="127"/>
    </w:p>
    <w:p w14:paraId="7292E06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除专用术语外，与竞争性磋商有关的语言均应当使用中文。必要时专用术语应附有中文注释。</w:t>
      </w:r>
    </w:p>
    <w:p w14:paraId="07B74814">
      <w:pPr>
        <w:pStyle w:val="4"/>
        <w:adjustRightInd w:val="0"/>
        <w:ind w:firstLine="482" w:firstLineChars="200"/>
        <w:rPr>
          <w:rFonts w:eastAsia="仿宋"/>
          <w:color w:val="auto"/>
          <w:sz w:val="24"/>
        </w:rPr>
      </w:pPr>
      <w:bookmarkStart w:id="128" w:name="_Toc342296170"/>
      <w:bookmarkStart w:id="129" w:name="_Toc144974506"/>
      <w:bookmarkStart w:id="130" w:name="_Toc466024507"/>
      <w:bookmarkStart w:id="131" w:name="_Toc152042314"/>
      <w:bookmarkStart w:id="132" w:name="_Toc342294722"/>
      <w:bookmarkStart w:id="133" w:name="_Toc371415926"/>
      <w:bookmarkStart w:id="134" w:name="_Toc342297627"/>
      <w:bookmarkStart w:id="135" w:name="_Toc152045538"/>
      <w:bookmarkStart w:id="136" w:name="_Toc179632555"/>
      <w:bookmarkStart w:id="137" w:name="_Toc455587223"/>
      <w:bookmarkStart w:id="138" w:name="_Toc458504825"/>
      <w:bookmarkStart w:id="139" w:name="_Toc333587861"/>
      <w:bookmarkStart w:id="140" w:name="_Toc338944613"/>
      <w:bookmarkStart w:id="141" w:name="_Toc445554696"/>
      <w:bookmarkStart w:id="142" w:name="_Toc333600691"/>
      <w:bookmarkStart w:id="143" w:name="_Toc338943708"/>
      <w:bookmarkStart w:id="144" w:name="_Toc333599667"/>
      <w:bookmarkStart w:id="145" w:name="_Toc455587039"/>
      <w:r>
        <w:rPr>
          <w:rFonts w:eastAsia="仿宋"/>
          <w:color w:val="auto"/>
          <w:sz w:val="24"/>
        </w:rPr>
        <w:t xml:space="preserve">1.7 </w:t>
      </w:r>
      <w:r>
        <w:rPr>
          <w:rFonts w:eastAsia="仿宋" w:cs="仿宋"/>
          <w:color w:val="auto"/>
          <w:sz w:val="24"/>
        </w:rPr>
        <w:t>计量单位</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D54E289">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除竞争性磋商文件另有规定外，所有计量均采用中华人民共和国法定计量单位。</w:t>
      </w:r>
      <w:bookmarkStart w:id="146" w:name="_Toc338944615"/>
      <w:bookmarkStart w:id="147" w:name="_Toc152042316"/>
      <w:bookmarkStart w:id="148" w:name="_Toc342294724"/>
      <w:bookmarkStart w:id="149" w:name="_Toc342297629"/>
      <w:bookmarkStart w:id="150" w:name="_Toc333600693"/>
      <w:bookmarkStart w:id="151" w:name="_Toc152045540"/>
      <w:bookmarkStart w:id="152" w:name="_Toc333599669"/>
      <w:bookmarkStart w:id="153" w:name="_Toc333587863"/>
      <w:bookmarkStart w:id="154" w:name="_Toc342296172"/>
      <w:bookmarkStart w:id="155" w:name="_Toc144974508"/>
      <w:bookmarkStart w:id="156" w:name="_Toc338943710"/>
      <w:bookmarkStart w:id="157" w:name="_Toc179632557"/>
    </w:p>
    <w:bookmarkEnd w:id="146"/>
    <w:bookmarkEnd w:id="147"/>
    <w:bookmarkEnd w:id="148"/>
    <w:bookmarkEnd w:id="149"/>
    <w:bookmarkEnd w:id="150"/>
    <w:bookmarkEnd w:id="151"/>
    <w:bookmarkEnd w:id="152"/>
    <w:bookmarkEnd w:id="153"/>
    <w:bookmarkEnd w:id="154"/>
    <w:bookmarkEnd w:id="155"/>
    <w:bookmarkEnd w:id="156"/>
    <w:bookmarkEnd w:id="157"/>
    <w:p w14:paraId="5C836F3E">
      <w:pPr>
        <w:pStyle w:val="4"/>
        <w:adjustRightInd w:val="0"/>
        <w:ind w:firstLine="482" w:firstLineChars="200"/>
        <w:rPr>
          <w:rFonts w:eastAsia="仿宋" w:cs="仿宋"/>
          <w:color w:val="auto"/>
          <w:sz w:val="24"/>
        </w:rPr>
      </w:pPr>
      <w:r>
        <w:rPr>
          <w:rFonts w:eastAsia="仿宋"/>
          <w:color w:val="auto"/>
          <w:sz w:val="24"/>
        </w:rPr>
        <w:t xml:space="preserve">1.8 </w:t>
      </w:r>
      <w:r>
        <w:rPr>
          <w:rFonts w:eastAsia="仿宋" w:cs="仿宋"/>
          <w:color w:val="auto"/>
          <w:sz w:val="24"/>
        </w:rPr>
        <w:t>分包</w:t>
      </w:r>
    </w:p>
    <w:p w14:paraId="394F96AF">
      <w:pPr>
        <w:ind w:firstLine="480" w:firstLineChars="200"/>
        <w:rPr>
          <w:color w:val="auto"/>
        </w:rPr>
      </w:pPr>
      <w:r>
        <w:rPr>
          <w:rFonts w:hint="eastAsia" w:ascii="楷体_GB2312" w:hAnsi="楷体_GB2312" w:eastAsia="仿宋" w:cs="仿宋"/>
          <w:color w:val="auto"/>
          <w:sz w:val="24"/>
        </w:rPr>
        <w:t>本项目不允许分包</w:t>
      </w:r>
    </w:p>
    <w:p w14:paraId="3D548666">
      <w:pPr>
        <w:pStyle w:val="3"/>
        <w:widowControl/>
        <w:rPr>
          <w:rFonts w:hint="default" w:ascii="Calibri" w:hAnsi="Calibri" w:eastAsia="仿宋" w:cs="方正书宋简体"/>
          <w:color w:val="auto"/>
          <w:sz w:val="24"/>
          <w:szCs w:val="24"/>
        </w:rPr>
      </w:pPr>
      <w:bookmarkStart w:id="158" w:name="_Toc342296175"/>
      <w:bookmarkStart w:id="159" w:name="_Toc371415929"/>
      <w:bookmarkStart w:id="160" w:name="_Toc152045542"/>
      <w:bookmarkStart w:id="161" w:name="_Toc338943713"/>
      <w:bookmarkStart w:id="162" w:name="_Toc333599672"/>
      <w:bookmarkStart w:id="163" w:name="_Toc338944618"/>
      <w:bookmarkStart w:id="164" w:name="_Toc455587043"/>
      <w:bookmarkStart w:id="165" w:name="_Toc342294727"/>
      <w:bookmarkStart w:id="166" w:name="_Toc144974510"/>
      <w:bookmarkStart w:id="167" w:name="_Toc333600696"/>
      <w:bookmarkStart w:id="168" w:name="_Toc466024510"/>
      <w:bookmarkStart w:id="169" w:name="_Toc445554700"/>
      <w:bookmarkStart w:id="170" w:name="_Toc342297632"/>
      <w:bookmarkStart w:id="171" w:name="_Toc152042318"/>
      <w:bookmarkStart w:id="172" w:name="_Toc455587227"/>
      <w:bookmarkStart w:id="173" w:name="_Toc179632560"/>
      <w:bookmarkStart w:id="174" w:name="_Toc458504828"/>
      <w:r>
        <w:rPr>
          <w:rStyle w:val="19"/>
          <w:rFonts w:hint="default" w:ascii="Calibri" w:hAnsi="Calibri" w:eastAsia="仿宋"/>
          <w:b/>
          <w:bCs/>
          <w:color w:val="auto"/>
          <w:sz w:val="24"/>
          <w:szCs w:val="24"/>
        </w:rPr>
        <w:t xml:space="preserve">2.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Style w:val="19"/>
          <w:rFonts w:ascii="Calibri" w:hAnsi="Calibri" w:eastAsia="仿宋" w:cs="仿宋"/>
          <w:b/>
          <w:bCs/>
          <w:color w:val="auto"/>
          <w:sz w:val="24"/>
          <w:szCs w:val="24"/>
        </w:rPr>
        <w:t>竞争性磋商文件</w:t>
      </w:r>
    </w:p>
    <w:p w14:paraId="6EB4D430">
      <w:pPr>
        <w:pStyle w:val="4"/>
        <w:adjustRightInd w:val="0"/>
        <w:ind w:firstLine="482" w:firstLineChars="200"/>
        <w:rPr>
          <w:rFonts w:eastAsia="仿宋"/>
          <w:color w:val="auto"/>
          <w:sz w:val="24"/>
        </w:rPr>
      </w:pPr>
      <w:bookmarkStart w:id="175" w:name="_Toc144974511"/>
      <w:bookmarkStart w:id="176" w:name="_Toc152045543"/>
      <w:bookmarkStart w:id="177" w:name="_Toc333600697"/>
      <w:bookmarkStart w:id="178" w:name="_Toc458504829"/>
      <w:bookmarkStart w:id="179" w:name="_Toc371415930"/>
      <w:bookmarkStart w:id="180" w:name="_Toc342296176"/>
      <w:bookmarkStart w:id="181" w:name="_Toc333587867"/>
      <w:bookmarkStart w:id="182" w:name="_Toc445554701"/>
      <w:bookmarkStart w:id="183" w:name="_Toc179632561"/>
      <w:bookmarkStart w:id="184" w:name="_Toc338944619"/>
      <w:bookmarkStart w:id="185" w:name="_Toc455587044"/>
      <w:bookmarkStart w:id="186" w:name="_Toc342294728"/>
      <w:bookmarkStart w:id="187" w:name="_Toc455587228"/>
      <w:bookmarkStart w:id="188" w:name="_Toc333599673"/>
      <w:bookmarkStart w:id="189" w:name="_Toc342297633"/>
      <w:bookmarkStart w:id="190" w:name="_Toc466024511"/>
      <w:bookmarkStart w:id="191" w:name="_Toc338943714"/>
      <w:bookmarkStart w:id="192" w:name="_Toc152042319"/>
      <w:r>
        <w:rPr>
          <w:rFonts w:eastAsia="仿宋"/>
          <w:color w:val="auto"/>
          <w:sz w:val="24"/>
        </w:rPr>
        <w:t xml:space="preserve">2.1 </w:t>
      </w:r>
      <w:r>
        <w:rPr>
          <w:rFonts w:eastAsia="仿宋" w:cs="仿宋"/>
          <w:color w:val="auto"/>
          <w:sz w:val="24"/>
        </w:rPr>
        <w:t>竞争性磋商文件的组成</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2A3D2D2D">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本竞争性磋商文件包括：</w:t>
      </w:r>
    </w:p>
    <w:p w14:paraId="07FAD50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s="仿宋"/>
          <w:color w:val="auto"/>
          <w:sz w:val="24"/>
          <w:lang w:bidi="ar"/>
        </w:rPr>
        <w:t>）竞争性磋商公告；</w:t>
      </w:r>
    </w:p>
    <w:p w14:paraId="3CCAC0BD">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2</w:t>
      </w:r>
      <w:r>
        <w:rPr>
          <w:rFonts w:hint="eastAsia" w:eastAsia="仿宋" w:cs="仿宋"/>
          <w:color w:val="auto"/>
          <w:sz w:val="24"/>
          <w:lang w:bidi="ar"/>
        </w:rPr>
        <w:t>）供应商须知；</w:t>
      </w:r>
    </w:p>
    <w:p w14:paraId="4950D4AC">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3</w:t>
      </w:r>
      <w:r>
        <w:rPr>
          <w:rFonts w:hint="eastAsia" w:eastAsia="仿宋" w:cs="仿宋"/>
          <w:color w:val="auto"/>
          <w:sz w:val="24"/>
          <w:lang w:bidi="ar"/>
        </w:rPr>
        <w:t>）采购需求；</w:t>
      </w:r>
    </w:p>
    <w:p w14:paraId="3CFBA54C">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4</w:t>
      </w:r>
      <w:r>
        <w:rPr>
          <w:rFonts w:hint="eastAsia" w:eastAsia="仿宋" w:cs="仿宋"/>
          <w:color w:val="auto"/>
          <w:sz w:val="24"/>
          <w:lang w:bidi="ar"/>
        </w:rPr>
        <w:t>）评审办法；</w:t>
      </w:r>
    </w:p>
    <w:p w14:paraId="1D013425">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5</w:t>
      </w:r>
      <w:r>
        <w:rPr>
          <w:rFonts w:hint="eastAsia" w:eastAsia="仿宋" w:cs="仿宋"/>
          <w:color w:val="auto"/>
          <w:sz w:val="24"/>
          <w:lang w:bidi="ar"/>
        </w:rPr>
        <w:t>）合同条款及格式；</w:t>
      </w:r>
    </w:p>
    <w:p w14:paraId="523A399F">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6</w:t>
      </w:r>
      <w:r>
        <w:rPr>
          <w:rFonts w:hint="eastAsia" w:eastAsia="仿宋" w:cs="仿宋"/>
          <w:color w:val="auto"/>
          <w:sz w:val="24"/>
          <w:lang w:bidi="ar"/>
        </w:rPr>
        <w:t>）响应文件格式。</w:t>
      </w:r>
    </w:p>
    <w:p w14:paraId="1EC15BDC">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对竞争性磋商文件所作的澄清、修改、补充通知，构成竞争性磋商文件的组成部分。当竞争性磋商文件、竞争性磋商文件的澄清或修改等在同一内容的</w:t>
      </w:r>
      <w:r>
        <w:rPr>
          <w:rFonts w:hint="eastAsia" w:ascii="Times New Roman" w:hAnsi="Times New Roman" w:eastAsia="仿宋" w:cs="仿宋"/>
          <w:color w:val="auto"/>
          <w:sz w:val="24"/>
          <w:lang w:bidi="ar"/>
        </w:rPr>
        <w:t>表述</w:t>
      </w:r>
      <w:r>
        <w:rPr>
          <w:rFonts w:hint="eastAsia" w:eastAsia="仿宋" w:cs="仿宋"/>
          <w:color w:val="auto"/>
          <w:sz w:val="24"/>
          <w:lang w:bidi="ar"/>
        </w:rPr>
        <w:t>上不一致时，以最后发出的书面文件为准。</w:t>
      </w:r>
    </w:p>
    <w:p w14:paraId="7AEDCB41">
      <w:pPr>
        <w:pStyle w:val="4"/>
        <w:adjustRightInd w:val="0"/>
        <w:ind w:firstLine="482" w:firstLineChars="200"/>
        <w:rPr>
          <w:rFonts w:eastAsia="仿宋"/>
          <w:color w:val="auto"/>
          <w:sz w:val="24"/>
        </w:rPr>
      </w:pPr>
      <w:bookmarkStart w:id="193" w:name="_Toc247527569"/>
      <w:bookmarkStart w:id="194" w:name="_Toc455587229"/>
      <w:bookmarkStart w:id="195" w:name="_Toc152042320"/>
      <w:bookmarkStart w:id="196" w:name="_Toc455587045"/>
      <w:bookmarkStart w:id="197" w:name="_Toc371415931"/>
      <w:bookmarkStart w:id="198" w:name="_Toc300834965"/>
      <w:bookmarkStart w:id="199" w:name="_Toc152045544"/>
      <w:bookmarkStart w:id="200" w:name="_Toc247513968"/>
      <w:bookmarkStart w:id="201" w:name="_Toc466024512"/>
      <w:bookmarkStart w:id="202" w:name="_Toc458504830"/>
      <w:bookmarkStart w:id="203" w:name="_Toc445554702"/>
      <w:bookmarkStart w:id="204" w:name="_Toc144974512"/>
      <w:r>
        <w:rPr>
          <w:rFonts w:eastAsia="仿宋"/>
          <w:color w:val="auto"/>
          <w:sz w:val="24"/>
        </w:rPr>
        <w:t xml:space="preserve">2.2 </w:t>
      </w:r>
      <w:r>
        <w:rPr>
          <w:rFonts w:eastAsia="仿宋" w:cs="仿宋"/>
          <w:color w:val="auto"/>
          <w:sz w:val="24"/>
        </w:rPr>
        <w:t>竞争性磋商文件的澄清</w:t>
      </w:r>
      <w:bookmarkEnd w:id="193"/>
      <w:bookmarkEnd w:id="194"/>
      <w:bookmarkEnd w:id="195"/>
      <w:bookmarkEnd w:id="196"/>
      <w:bookmarkEnd w:id="197"/>
      <w:bookmarkEnd w:id="198"/>
      <w:bookmarkEnd w:id="199"/>
      <w:bookmarkEnd w:id="200"/>
      <w:bookmarkEnd w:id="201"/>
      <w:bookmarkEnd w:id="202"/>
      <w:bookmarkEnd w:id="203"/>
      <w:bookmarkEnd w:id="204"/>
    </w:p>
    <w:p w14:paraId="0F9B6FA2">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2.2.1 </w:t>
      </w:r>
      <w:r>
        <w:rPr>
          <w:rFonts w:hint="eastAsia" w:ascii="Times New Roman" w:hAnsi="Times New Roman" w:eastAsia="仿宋" w:cs="仿宋"/>
          <w:color w:val="auto"/>
          <w:sz w:val="24"/>
          <w:lang w:bidi="ar"/>
        </w:rPr>
        <w:t>供应商应仔细阅读和检查竞争性磋商文件的全部内容。如发现缺页或附件不全，应及时向采购人提出，以便补齐。如有疑问，应按供应商须知前附表规定的时间和形式将提出的问题送达采购人，要求采购人对竞争性磋商文件予以澄清。</w:t>
      </w:r>
    </w:p>
    <w:p w14:paraId="5916466F">
      <w:pPr>
        <w:widowControl/>
        <w:adjustRightInd w:val="0"/>
        <w:snapToGrid w:val="0"/>
        <w:spacing w:line="360" w:lineRule="auto"/>
        <w:ind w:firstLine="480" w:firstLineChars="200"/>
        <w:rPr>
          <w:rFonts w:eastAsia="仿宋"/>
          <w:color w:val="auto"/>
          <w:sz w:val="24"/>
        </w:rPr>
      </w:pPr>
      <w:r>
        <w:rPr>
          <w:rFonts w:eastAsia="仿宋"/>
          <w:color w:val="auto"/>
          <w:sz w:val="24"/>
          <w:lang w:bidi="ar"/>
        </w:rPr>
        <w:t>2.2.</w:t>
      </w:r>
      <w:r>
        <w:rPr>
          <w:rFonts w:hint="eastAsia" w:eastAsia="仿宋"/>
          <w:color w:val="auto"/>
          <w:sz w:val="24"/>
          <w:lang w:bidi="ar"/>
        </w:rPr>
        <w:t>2</w:t>
      </w:r>
      <w:r>
        <w:rPr>
          <w:rFonts w:eastAsia="仿宋"/>
          <w:color w:val="auto"/>
          <w:sz w:val="24"/>
          <w:lang w:bidi="ar"/>
        </w:rPr>
        <w:t xml:space="preserve"> </w:t>
      </w:r>
      <w:r>
        <w:rPr>
          <w:rFonts w:hint="eastAsia" w:eastAsia="仿宋" w:cs="仿宋"/>
          <w:color w:val="auto"/>
          <w:sz w:val="24"/>
          <w:lang w:bidi="ar"/>
        </w:rPr>
        <w:t>供应商在收到澄清后，除供应商须知前附表另有规定外，应当在供应商须知前附表规定的时间内以书面形式通知采购人，确认已收到该澄清。</w:t>
      </w:r>
    </w:p>
    <w:p w14:paraId="4698ED16">
      <w:pPr>
        <w:pStyle w:val="4"/>
        <w:adjustRightInd w:val="0"/>
        <w:ind w:firstLine="482" w:firstLineChars="200"/>
        <w:rPr>
          <w:rFonts w:eastAsia="仿宋"/>
          <w:color w:val="auto"/>
          <w:sz w:val="24"/>
        </w:rPr>
      </w:pPr>
      <w:bookmarkStart w:id="205" w:name="_Toc455587230"/>
      <w:bookmarkStart w:id="206" w:name="_Toc458504831"/>
      <w:bookmarkStart w:id="207" w:name="_Toc445554703"/>
      <w:bookmarkStart w:id="208" w:name="_Toc455587046"/>
      <w:bookmarkStart w:id="209" w:name="_Toc144974513"/>
      <w:bookmarkStart w:id="210" w:name="_Toc152042321"/>
      <w:bookmarkStart w:id="211" w:name="_Toc300834966"/>
      <w:bookmarkStart w:id="212" w:name="_Toc247513969"/>
      <w:bookmarkStart w:id="213" w:name="_Toc247527570"/>
      <w:bookmarkStart w:id="214" w:name="_Toc466024513"/>
      <w:bookmarkStart w:id="215" w:name="_Toc371415932"/>
      <w:bookmarkStart w:id="216" w:name="_Toc152045545"/>
      <w:r>
        <w:rPr>
          <w:rFonts w:eastAsia="仿宋"/>
          <w:color w:val="auto"/>
          <w:sz w:val="24"/>
        </w:rPr>
        <w:t xml:space="preserve">2.3 </w:t>
      </w:r>
      <w:r>
        <w:rPr>
          <w:rFonts w:eastAsia="仿宋" w:cs="仿宋"/>
          <w:color w:val="auto"/>
          <w:sz w:val="24"/>
        </w:rPr>
        <w:t>竞争性磋商文件的修改</w:t>
      </w:r>
      <w:bookmarkEnd w:id="205"/>
      <w:bookmarkEnd w:id="206"/>
      <w:bookmarkEnd w:id="207"/>
      <w:bookmarkEnd w:id="208"/>
      <w:bookmarkEnd w:id="209"/>
      <w:bookmarkEnd w:id="210"/>
      <w:bookmarkEnd w:id="211"/>
      <w:bookmarkEnd w:id="212"/>
      <w:bookmarkEnd w:id="213"/>
      <w:bookmarkEnd w:id="214"/>
      <w:bookmarkEnd w:id="215"/>
      <w:bookmarkEnd w:id="216"/>
    </w:p>
    <w:p w14:paraId="73CC39E2">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2.3.1 </w:t>
      </w:r>
      <w:r>
        <w:rPr>
          <w:rFonts w:hint="eastAsia" w:eastAsia="仿宋" w:cs="仿宋"/>
          <w:color w:val="auto"/>
          <w:sz w:val="24"/>
          <w:lang w:bidi="ar"/>
        </w:rPr>
        <w:t>采购人以供应商须知前附表规定的形式修改竞争性磋商文件，并通知所有购买竞争性磋商文件的供应商。</w:t>
      </w:r>
      <w:r>
        <w:rPr>
          <w:rFonts w:eastAsia="仿宋"/>
          <w:color w:val="auto"/>
          <w:sz w:val="24"/>
          <w:lang w:bidi="ar"/>
        </w:rPr>
        <w:t xml:space="preserve"> </w:t>
      </w:r>
    </w:p>
    <w:p w14:paraId="7CD58B95">
      <w:pPr>
        <w:pStyle w:val="3"/>
        <w:widowControl/>
        <w:rPr>
          <w:rFonts w:hint="default" w:ascii="Calibri" w:hAnsi="Calibri" w:eastAsia="仿宋" w:cs="方正书宋简体"/>
          <w:color w:val="auto"/>
          <w:sz w:val="24"/>
          <w:szCs w:val="24"/>
        </w:rPr>
      </w:pPr>
      <w:bookmarkStart w:id="217" w:name="_Toc342296179"/>
      <w:bookmarkStart w:id="218" w:name="_Toc152042322"/>
      <w:bookmarkStart w:id="219" w:name="_Toc338943717"/>
      <w:bookmarkStart w:id="220" w:name="_Toc455587232"/>
      <w:bookmarkStart w:id="221" w:name="_Toc338944622"/>
      <w:bookmarkStart w:id="222" w:name="_Toc445554705"/>
      <w:bookmarkStart w:id="223" w:name="_Toc466024514"/>
      <w:bookmarkStart w:id="224" w:name="_Toc144974514"/>
      <w:bookmarkStart w:id="225" w:name="_Toc179632564"/>
      <w:bookmarkStart w:id="226" w:name="_Toc342294731"/>
      <w:bookmarkStart w:id="227" w:name="_Toc152045546"/>
      <w:bookmarkStart w:id="228" w:name="_Toc342297636"/>
      <w:bookmarkStart w:id="229" w:name="_Toc455587048"/>
      <w:bookmarkStart w:id="230" w:name="_Toc333600700"/>
      <w:bookmarkStart w:id="231" w:name="_Toc333599676"/>
      <w:bookmarkStart w:id="232" w:name="_Toc458504832"/>
      <w:bookmarkStart w:id="233" w:name="_Toc371415933"/>
      <w:r>
        <w:rPr>
          <w:rStyle w:val="19"/>
          <w:rFonts w:hint="default" w:ascii="Calibri" w:hAnsi="Calibri" w:eastAsia="仿宋"/>
          <w:b/>
          <w:bCs/>
          <w:color w:val="auto"/>
          <w:sz w:val="24"/>
          <w:szCs w:val="24"/>
        </w:rPr>
        <w:t xml:space="preserve">3. </w:t>
      </w:r>
      <w:r>
        <w:rPr>
          <w:rStyle w:val="19"/>
          <w:rFonts w:ascii="Calibri" w:hAnsi="Calibri" w:eastAsia="仿宋" w:cs="仿宋"/>
          <w:b/>
          <w:bCs/>
          <w:color w:val="auto"/>
          <w:sz w:val="24"/>
          <w:szCs w:val="24"/>
        </w:rPr>
        <w:t>响应文件</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758D655">
      <w:pPr>
        <w:pStyle w:val="4"/>
        <w:adjustRightInd w:val="0"/>
        <w:ind w:firstLine="482" w:firstLineChars="200"/>
        <w:rPr>
          <w:rFonts w:eastAsia="仿宋"/>
          <w:color w:val="auto"/>
          <w:sz w:val="24"/>
        </w:rPr>
      </w:pPr>
      <w:bookmarkStart w:id="234" w:name="_Toc342297637"/>
      <w:bookmarkStart w:id="235" w:name="_Toc152042323"/>
      <w:bookmarkStart w:id="236" w:name="_Toc333587871"/>
      <w:bookmarkStart w:id="237" w:name="_Toc144974515"/>
      <w:bookmarkStart w:id="238" w:name="_Toc152045547"/>
      <w:bookmarkStart w:id="239" w:name="_Toc455587233"/>
      <w:bookmarkStart w:id="240" w:name="_Toc333599677"/>
      <w:bookmarkStart w:id="241" w:name="_Toc338943718"/>
      <w:bookmarkStart w:id="242" w:name="_Toc466024515"/>
      <w:bookmarkStart w:id="243" w:name="_Toc458504833"/>
      <w:bookmarkStart w:id="244" w:name="_Toc455587049"/>
      <w:bookmarkStart w:id="245" w:name="_Toc333600701"/>
      <w:bookmarkStart w:id="246" w:name="_Toc179632565"/>
      <w:bookmarkStart w:id="247" w:name="_Toc342296180"/>
      <w:bookmarkStart w:id="248" w:name="_Toc338944623"/>
      <w:bookmarkStart w:id="249" w:name="_Toc342294732"/>
      <w:bookmarkStart w:id="250" w:name="_Toc445554706"/>
      <w:bookmarkStart w:id="251" w:name="_Toc371415934"/>
      <w:r>
        <w:rPr>
          <w:rFonts w:eastAsia="仿宋"/>
          <w:color w:val="auto"/>
          <w:sz w:val="24"/>
        </w:rPr>
        <w:t xml:space="preserve">3.1 </w:t>
      </w:r>
      <w:r>
        <w:rPr>
          <w:rFonts w:eastAsia="仿宋" w:cs="仿宋"/>
          <w:color w:val="auto"/>
          <w:sz w:val="24"/>
        </w:rPr>
        <w:t>响应文件的组成</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16233075">
      <w:pPr>
        <w:widowControl/>
        <w:adjustRightInd w:val="0"/>
        <w:snapToGrid w:val="0"/>
        <w:spacing w:line="360" w:lineRule="auto"/>
        <w:ind w:firstLine="480" w:firstLineChars="200"/>
        <w:rPr>
          <w:rFonts w:eastAsia="仿宋"/>
          <w:color w:val="auto"/>
          <w:sz w:val="24"/>
        </w:rPr>
      </w:pPr>
      <w:bookmarkStart w:id="252" w:name="_Toc342294733"/>
      <w:bookmarkStart w:id="253" w:name="_Toc338943719"/>
      <w:bookmarkStart w:id="254" w:name="_Toc333600702"/>
      <w:bookmarkStart w:id="255" w:name="_Toc144974516"/>
      <w:bookmarkStart w:id="256" w:name="_Toc342296181"/>
      <w:bookmarkStart w:id="257" w:name="_Toc152045548"/>
      <w:bookmarkStart w:id="258" w:name="_Toc333587872"/>
      <w:bookmarkStart w:id="259" w:name="_Toc342297638"/>
      <w:bookmarkStart w:id="260" w:name="_Toc179632566"/>
      <w:bookmarkStart w:id="261" w:name="_Toc152042324"/>
      <w:bookmarkStart w:id="262" w:name="_Toc333599678"/>
      <w:bookmarkStart w:id="263" w:name="_Toc338944624"/>
      <w:r>
        <w:rPr>
          <w:rFonts w:eastAsia="仿宋"/>
          <w:color w:val="auto"/>
          <w:sz w:val="24"/>
          <w:lang w:bidi="ar"/>
        </w:rPr>
        <w:t xml:space="preserve">3.1.1 </w:t>
      </w:r>
      <w:r>
        <w:rPr>
          <w:rFonts w:hint="eastAsia" w:eastAsia="仿宋" w:cs="仿宋"/>
          <w:color w:val="auto"/>
          <w:sz w:val="24"/>
          <w:lang w:bidi="ar"/>
        </w:rPr>
        <w:t>响应文件应包括下列内容：</w:t>
      </w:r>
    </w:p>
    <w:p w14:paraId="5F06A71C">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w:t>
      </w:r>
      <w:r>
        <w:rPr>
          <w:rFonts w:hint="eastAsia" w:eastAsia="仿宋" w:cs="仿宋"/>
          <w:color w:val="auto"/>
          <w:sz w:val="24"/>
          <w:lang w:bidi="ar"/>
        </w:rPr>
        <w:t>）响应函；</w:t>
      </w:r>
    </w:p>
    <w:p w14:paraId="1D45B64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2</w:t>
      </w:r>
      <w:r>
        <w:rPr>
          <w:rFonts w:hint="eastAsia" w:eastAsia="仿宋" w:cs="仿宋"/>
          <w:color w:val="auto"/>
          <w:sz w:val="24"/>
          <w:lang w:bidi="ar"/>
        </w:rPr>
        <w:t>）法定代表人（单位负责人）身份证明或授权委托书；</w:t>
      </w:r>
    </w:p>
    <w:p w14:paraId="166E010F">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3</w:t>
      </w:r>
      <w:r>
        <w:rPr>
          <w:rFonts w:hint="eastAsia" w:eastAsia="仿宋" w:cs="仿宋"/>
          <w:color w:val="auto"/>
          <w:sz w:val="24"/>
          <w:lang w:bidi="ar"/>
        </w:rPr>
        <w:t>）响应报价一览表；</w:t>
      </w:r>
    </w:p>
    <w:p w14:paraId="152B5253">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4</w:t>
      </w:r>
      <w:r>
        <w:rPr>
          <w:rFonts w:hint="eastAsia" w:eastAsia="仿宋" w:cs="仿宋"/>
          <w:color w:val="auto"/>
          <w:sz w:val="24"/>
          <w:lang w:bidi="ar"/>
        </w:rPr>
        <w:t>）分项报价表；</w:t>
      </w:r>
    </w:p>
    <w:p w14:paraId="3A0204A2">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5</w:t>
      </w:r>
      <w:r>
        <w:rPr>
          <w:rFonts w:hint="eastAsia" w:eastAsia="仿宋" w:cs="仿宋"/>
          <w:color w:val="auto"/>
          <w:sz w:val="24"/>
          <w:lang w:bidi="ar"/>
        </w:rPr>
        <w:t>）响应</w:t>
      </w:r>
      <w:r>
        <w:rPr>
          <w:rFonts w:eastAsia="仿宋"/>
          <w:color w:val="auto"/>
          <w:sz w:val="24"/>
          <w:lang w:bidi="ar"/>
        </w:rPr>
        <w:t>/</w:t>
      </w:r>
      <w:r>
        <w:rPr>
          <w:rFonts w:hint="eastAsia" w:eastAsia="仿宋" w:cs="仿宋"/>
          <w:color w:val="auto"/>
          <w:sz w:val="24"/>
          <w:lang w:bidi="ar"/>
        </w:rPr>
        <w:t>偏离表；</w:t>
      </w:r>
    </w:p>
    <w:p w14:paraId="7A78837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6</w:t>
      </w:r>
      <w:r>
        <w:rPr>
          <w:rFonts w:hint="eastAsia" w:eastAsia="仿宋" w:cs="仿宋"/>
          <w:color w:val="auto"/>
          <w:sz w:val="24"/>
          <w:lang w:bidi="ar"/>
        </w:rPr>
        <w:t>）服务方案；</w:t>
      </w:r>
    </w:p>
    <w:p w14:paraId="7C57F9B7">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7</w:t>
      </w:r>
      <w:r>
        <w:rPr>
          <w:rFonts w:hint="eastAsia" w:eastAsia="仿宋" w:cs="仿宋"/>
          <w:color w:val="auto"/>
          <w:sz w:val="24"/>
          <w:lang w:bidi="ar"/>
        </w:rPr>
        <w:t>）书面承诺函；</w:t>
      </w:r>
    </w:p>
    <w:p w14:paraId="5613D5FE">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8</w:t>
      </w:r>
      <w:r>
        <w:rPr>
          <w:rFonts w:hint="eastAsia" w:eastAsia="仿宋" w:cs="仿宋"/>
          <w:color w:val="auto"/>
          <w:sz w:val="24"/>
          <w:lang w:bidi="ar"/>
        </w:rPr>
        <w:t>）涉及初步评审的相关证明资料；</w:t>
      </w:r>
    </w:p>
    <w:p w14:paraId="52055C7F">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9</w:t>
      </w:r>
      <w:r>
        <w:rPr>
          <w:rFonts w:hint="eastAsia" w:eastAsia="仿宋" w:cs="仿宋"/>
          <w:color w:val="auto"/>
          <w:sz w:val="24"/>
          <w:lang w:bidi="ar"/>
        </w:rPr>
        <w:t>）涉及详细评审的相关证明资料；</w:t>
      </w:r>
    </w:p>
    <w:p w14:paraId="32BA4B34">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w:t>
      </w:r>
      <w:r>
        <w:rPr>
          <w:rFonts w:eastAsia="仿宋"/>
          <w:color w:val="auto"/>
          <w:sz w:val="24"/>
          <w:lang w:bidi="ar"/>
        </w:rPr>
        <w:t>10</w:t>
      </w:r>
      <w:r>
        <w:rPr>
          <w:rFonts w:hint="eastAsia" w:eastAsia="仿宋" w:cs="仿宋"/>
          <w:color w:val="auto"/>
          <w:sz w:val="24"/>
          <w:lang w:bidi="ar"/>
        </w:rPr>
        <w:t>）供应商认为应提供的其他资料。</w:t>
      </w:r>
    </w:p>
    <w:p w14:paraId="2FE3E647">
      <w:pPr>
        <w:widowControl/>
        <w:adjustRightInd w:val="0"/>
        <w:snapToGrid w:val="0"/>
        <w:spacing w:line="360" w:lineRule="auto"/>
        <w:ind w:firstLine="480" w:firstLineChars="200"/>
        <w:rPr>
          <w:rFonts w:eastAsia="仿宋"/>
          <w:color w:val="auto"/>
          <w:sz w:val="24"/>
        </w:rPr>
      </w:pPr>
      <w:r>
        <w:rPr>
          <w:rFonts w:hint="eastAsia" w:ascii="Times New Roman" w:hAnsi="Times New Roman" w:eastAsia="仿宋" w:cs="仿宋"/>
          <w:color w:val="auto"/>
          <w:sz w:val="24"/>
          <w:lang w:bidi="ar"/>
        </w:rPr>
        <w:t>供应商在竞争性磋商、评审过程中作出的符合法律法规和竞争性磋商文件规定的澄清确认，构成响应文件的组成部分。</w:t>
      </w:r>
    </w:p>
    <w:p w14:paraId="55060A35">
      <w:pPr>
        <w:pStyle w:val="4"/>
        <w:adjustRightInd w:val="0"/>
        <w:ind w:firstLine="482" w:firstLineChars="200"/>
        <w:rPr>
          <w:rFonts w:eastAsia="仿宋"/>
          <w:color w:val="auto"/>
          <w:sz w:val="24"/>
        </w:rPr>
      </w:pPr>
      <w:bookmarkStart w:id="264" w:name="_Toc455587050"/>
      <w:bookmarkStart w:id="265" w:name="_Toc466024516"/>
      <w:bookmarkStart w:id="266" w:name="_Toc455587234"/>
      <w:bookmarkStart w:id="267" w:name="_Toc445554707"/>
      <w:bookmarkStart w:id="268" w:name="_Toc458504834"/>
      <w:r>
        <w:rPr>
          <w:rFonts w:eastAsia="仿宋"/>
          <w:color w:val="auto"/>
          <w:sz w:val="24"/>
        </w:rPr>
        <w:t xml:space="preserve">3.2 </w:t>
      </w:r>
      <w:r>
        <w:rPr>
          <w:rFonts w:eastAsia="仿宋" w:cs="仿宋"/>
          <w:color w:val="auto"/>
          <w:sz w:val="24"/>
        </w:rPr>
        <w:t>响应报价</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Start w:id="269" w:name="_Toc370199958"/>
    </w:p>
    <w:p w14:paraId="63C279FB">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3.2.1 </w:t>
      </w:r>
      <w:r>
        <w:rPr>
          <w:rFonts w:hint="eastAsia" w:eastAsia="仿宋" w:cs="仿宋"/>
          <w:color w:val="auto"/>
          <w:sz w:val="24"/>
          <w:lang w:bidi="ar"/>
        </w:rPr>
        <w:t>响应报价应当包括的内容见供应商须知前附表规定。供应商应当按竞争性磋商文件规定进行响应报价，并按给定格式填写响应报价表格。</w:t>
      </w:r>
      <w:bookmarkEnd w:id="269"/>
      <w:bookmarkStart w:id="270" w:name="_Toc370199959"/>
    </w:p>
    <w:p w14:paraId="36CE6D26">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3.2.2 </w:t>
      </w:r>
      <w:r>
        <w:rPr>
          <w:rFonts w:hint="eastAsia" w:eastAsia="仿宋" w:cs="仿宋"/>
          <w:color w:val="auto"/>
          <w:sz w:val="24"/>
          <w:lang w:bidi="ar"/>
        </w:rPr>
        <w:t>供应商应充分了解该项目的总体情况以及影响报价的其他要素。</w:t>
      </w:r>
    </w:p>
    <w:p w14:paraId="283E11EA">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3.2.3 </w:t>
      </w:r>
      <w:r>
        <w:rPr>
          <w:rFonts w:hint="eastAsia" w:eastAsia="仿宋" w:cs="仿宋"/>
          <w:color w:val="auto"/>
          <w:sz w:val="24"/>
          <w:lang w:bidi="ar"/>
        </w:rPr>
        <w:t>提交两个或两个以上的响应报价，或者任何有选择性的报价或者有附加条件的报价的响应文件将按无效处理，供应商须知前附表允许提交备选方案的除外。</w:t>
      </w:r>
    </w:p>
    <w:p w14:paraId="7041FFF1">
      <w:pPr>
        <w:widowControl/>
        <w:adjustRightInd w:val="0"/>
        <w:snapToGrid w:val="0"/>
        <w:spacing w:line="360" w:lineRule="auto"/>
        <w:ind w:firstLine="480" w:firstLineChars="200"/>
        <w:rPr>
          <w:rFonts w:eastAsia="仿宋"/>
          <w:color w:val="auto"/>
          <w:sz w:val="24"/>
        </w:rPr>
      </w:pPr>
      <w:r>
        <w:rPr>
          <w:rFonts w:eastAsia="仿宋"/>
          <w:color w:val="auto"/>
          <w:sz w:val="24"/>
          <w:lang w:bidi="ar"/>
        </w:rPr>
        <w:t>3.2.4</w:t>
      </w:r>
      <w:r>
        <w:rPr>
          <w:rFonts w:hint="eastAsia" w:eastAsia="仿宋" w:cs="仿宋"/>
          <w:color w:val="auto"/>
          <w:sz w:val="24"/>
          <w:lang w:bidi="ar"/>
        </w:rPr>
        <w:t>响应报价为各分项报价之和。如分项报价中存在缺漏项，则视为缺漏项价格已包含在其他分项报价之中。供应商在提交首次响应文件截止时间前修改响应报价一览表中的响应报价总额，应同时修改响应文件“分项报价表”中的相应报价。此修改须符合本章第</w:t>
      </w:r>
      <w:r>
        <w:rPr>
          <w:rFonts w:eastAsia="仿宋"/>
          <w:color w:val="auto"/>
          <w:sz w:val="24"/>
          <w:lang w:bidi="ar"/>
        </w:rPr>
        <w:t>4.3</w:t>
      </w:r>
      <w:r>
        <w:rPr>
          <w:rFonts w:hint="eastAsia" w:eastAsia="仿宋" w:cs="仿宋"/>
          <w:color w:val="auto"/>
          <w:sz w:val="24"/>
          <w:lang w:bidi="ar"/>
        </w:rPr>
        <w:t>款的有关要求。</w:t>
      </w:r>
    </w:p>
    <w:p w14:paraId="2F04BAC3">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3.2.5 </w:t>
      </w:r>
      <w:r>
        <w:rPr>
          <w:rFonts w:hint="eastAsia" w:eastAsia="仿宋" w:cs="仿宋"/>
          <w:color w:val="auto"/>
          <w:sz w:val="24"/>
          <w:lang w:bidi="ar"/>
        </w:rPr>
        <w:t>采购人设有最高限价的，响应报价不得超过最高限价，否则响应文件无效，最高限价在供应商须知前附表中载明。</w:t>
      </w:r>
    </w:p>
    <w:bookmarkEnd w:id="270"/>
    <w:p w14:paraId="637D8834">
      <w:pPr>
        <w:pStyle w:val="4"/>
        <w:adjustRightInd w:val="0"/>
        <w:ind w:firstLine="482" w:firstLineChars="200"/>
        <w:rPr>
          <w:rFonts w:eastAsia="仿宋"/>
          <w:color w:val="auto"/>
          <w:sz w:val="24"/>
        </w:rPr>
      </w:pPr>
      <w:bookmarkStart w:id="271" w:name="_Toc342296182"/>
      <w:bookmarkStart w:id="272" w:name="_Toc338944625"/>
      <w:bookmarkStart w:id="273" w:name="_Toc342294734"/>
      <w:bookmarkStart w:id="274" w:name="_Toc333599679"/>
      <w:bookmarkStart w:id="275" w:name="_Toc445554708"/>
      <w:bookmarkStart w:id="276" w:name="_Toc333600703"/>
      <w:bookmarkStart w:id="277" w:name="_Toc466024517"/>
      <w:bookmarkStart w:id="278" w:name="_Toc458504835"/>
      <w:bookmarkStart w:id="279" w:name="_Toc342297639"/>
      <w:bookmarkStart w:id="280" w:name="_Toc179632567"/>
      <w:bookmarkStart w:id="281" w:name="_Toc152045549"/>
      <w:bookmarkStart w:id="282" w:name="_Toc371415937"/>
      <w:bookmarkStart w:id="283" w:name="_Toc338943720"/>
      <w:bookmarkStart w:id="284" w:name="_Toc144974517"/>
      <w:bookmarkStart w:id="285" w:name="_Toc455587051"/>
      <w:bookmarkStart w:id="286" w:name="_Toc455587235"/>
      <w:bookmarkStart w:id="287" w:name="_Toc333587873"/>
      <w:bookmarkStart w:id="288" w:name="_Toc152042325"/>
      <w:r>
        <w:rPr>
          <w:rFonts w:eastAsia="仿宋"/>
          <w:color w:val="auto"/>
          <w:sz w:val="24"/>
        </w:rPr>
        <w:t xml:space="preserve">3.3 </w:t>
      </w:r>
      <w:r>
        <w:rPr>
          <w:rFonts w:eastAsia="仿宋" w:cs="仿宋"/>
          <w:color w:val="auto"/>
          <w:sz w:val="24"/>
        </w:rPr>
        <w:t>响应文件有效期</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61DF2A06">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3.3.1 </w:t>
      </w:r>
      <w:r>
        <w:rPr>
          <w:rFonts w:hint="eastAsia" w:eastAsia="仿宋" w:cs="仿宋"/>
          <w:color w:val="auto"/>
          <w:sz w:val="24"/>
          <w:lang w:bidi="ar"/>
        </w:rPr>
        <w:t>在供应商须知前附表规定中的响应文件有效期内，响应文件保持有效，供应商不得要求撤销或修改其响应文件，否则应承担竞争性磋商文件和法律法规规定的责任。</w:t>
      </w:r>
    </w:p>
    <w:p w14:paraId="495C210A">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3.3.2 </w:t>
      </w:r>
      <w:r>
        <w:rPr>
          <w:rFonts w:hint="eastAsia" w:eastAsia="仿宋" w:cs="仿宋"/>
          <w:color w:val="auto"/>
          <w:sz w:val="24"/>
          <w:lang w:bidi="ar"/>
        </w:rPr>
        <w:t>出现特殊情况需要延长响应文件有效期的，采购人以书面形式通知所有供应商延长响应文件有效期。供应商同意延长的，应当相应延长其竞争性磋商保证金的有效期，但不得要求或被允许修改或撤销其响应文件；供应商拒绝延长的，其响应文件失效，但供应商有权收回其竞争性磋商保证金。</w:t>
      </w:r>
      <w:r>
        <w:rPr>
          <w:rFonts w:eastAsia="仿宋"/>
          <w:color w:val="auto"/>
          <w:sz w:val="24"/>
          <w:lang w:bidi="ar"/>
        </w:rPr>
        <w:t xml:space="preserve"> </w:t>
      </w:r>
    </w:p>
    <w:p w14:paraId="6E6C55F2">
      <w:pPr>
        <w:pStyle w:val="4"/>
        <w:adjustRightInd w:val="0"/>
        <w:ind w:firstLine="482" w:firstLineChars="200"/>
        <w:rPr>
          <w:rFonts w:eastAsia="仿宋" w:cs="仿宋"/>
          <w:color w:val="auto"/>
          <w:sz w:val="24"/>
        </w:rPr>
      </w:pPr>
      <w:bookmarkStart w:id="289" w:name="_Toc333600704"/>
      <w:bookmarkStart w:id="290" w:name="_Toc342294735"/>
      <w:bookmarkStart w:id="291" w:name="_Toc371415938"/>
      <w:bookmarkStart w:id="292" w:name="_Toc458504836"/>
      <w:bookmarkStart w:id="293" w:name="_Toc333587874"/>
      <w:bookmarkStart w:id="294" w:name="_Toc466024518"/>
      <w:bookmarkStart w:id="295" w:name="_Toc152045550"/>
      <w:bookmarkStart w:id="296" w:name="_Toc445554709"/>
      <w:bookmarkStart w:id="297" w:name="_Toc342296183"/>
      <w:bookmarkStart w:id="298" w:name="_Toc333599680"/>
      <w:bookmarkStart w:id="299" w:name="_Toc338944626"/>
      <w:bookmarkStart w:id="300" w:name="_Toc144974518"/>
      <w:bookmarkStart w:id="301" w:name="_Toc455587052"/>
      <w:bookmarkStart w:id="302" w:name="_Toc338943721"/>
      <w:bookmarkStart w:id="303" w:name="_Toc179632568"/>
      <w:bookmarkStart w:id="304" w:name="_Toc455587236"/>
      <w:bookmarkStart w:id="305" w:name="_Toc342297640"/>
      <w:bookmarkStart w:id="306" w:name="_Toc152042326"/>
      <w:r>
        <w:rPr>
          <w:rFonts w:eastAsia="仿宋"/>
          <w:color w:val="auto"/>
          <w:sz w:val="24"/>
        </w:rPr>
        <w:t>3.4 竞争性磋商</w:t>
      </w:r>
      <w:r>
        <w:rPr>
          <w:rFonts w:eastAsia="仿宋" w:cs="仿宋"/>
          <w:color w:val="auto"/>
          <w:sz w:val="24"/>
        </w:rPr>
        <w:t>保证金</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D2A1289">
      <w:pPr>
        <w:widowControl/>
        <w:adjustRightInd w:val="0"/>
        <w:snapToGrid w:val="0"/>
        <w:spacing w:line="360" w:lineRule="auto"/>
        <w:ind w:firstLine="480" w:firstLineChars="200"/>
        <w:rPr>
          <w:rFonts w:eastAsia="仿宋" w:cs="仿宋"/>
          <w:color w:val="auto"/>
          <w:sz w:val="24"/>
          <w:lang w:bidi="ar"/>
        </w:rPr>
      </w:pPr>
      <w:r>
        <w:rPr>
          <w:rFonts w:hint="eastAsia" w:eastAsia="仿宋" w:cs="仿宋"/>
          <w:color w:val="auto"/>
          <w:sz w:val="24"/>
          <w:lang w:bidi="ar"/>
        </w:rPr>
        <w:t>本项目不要求</w:t>
      </w:r>
    </w:p>
    <w:p w14:paraId="6215E1B7">
      <w:pPr>
        <w:pStyle w:val="4"/>
        <w:adjustRightInd w:val="0"/>
        <w:ind w:firstLine="482" w:firstLineChars="200"/>
        <w:rPr>
          <w:rFonts w:eastAsia="仿宋" w:cs="仿宋"/>
          <w:color w:val="auto"/>
          <w:sz w:val="24"/>
        </w:rPr>
      </w:pPr>
      <w:bookmarkStart w:id="307" w:name="_Toc333600706"/>
      <w:bookmarkStart w:id="308" w:name="_Toc342294737"/>
      <w:bookmarkStart w:id="309" w:name="_Toc179632570"/>
      <w:bookmarkStart w:id="310" w:name="_Toc342297642"/>
      <w:bookmarkStart w:id="311" w:name="_Toc455587054"/>
      <w:bookmarkStart w:id="312" w:name="_Toc371415940"/>
      <w:bookmarkStart w:id="313" w:name="_Toc152045552"/>
      <w:bookmarkStart w:id="314" w:name="_Toc333599682"/>
      <w:bookmarkStart w:id="315" w:name="_Toc342296185"/>
      <w:bookmarkStart w:id="316" w:name="_Toc338943723"/>
      <w:bookmarkStart w:id="317" w:name="_Toc152042328"/>
      <w:bookmarkStart w:id="318" w:name="_Toc458504838"/>
      <w:bookmarkStart w:id="319" w:name="_Toc338944628"/>
      <w:bookmarkStart w:id="320" w:name="_Toc144974520"/>
      <w:bookmarkStart w:id="321" w:name="_Toc333587876"/>
      <w:bookmarkStart w:id="322" w:name="_Toc455587238"/>
      <w:bookmarkStart w:id="323" w:name="_Toc445554711"/>
      <w:bookmarkStart w:id="324" w:name="_Toc466024520"/>
      <w:r>
        <w:rPr>
          <w:rFonts w:eastAsia="仿宋" w:cs="仿宋"/>
          <w:color w:val="auto"/>
          <w:sz w:val="24"/>
        </w:rPr>
        <w:t>3.5 资格审查资料</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C812269">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3.5.1 </w:t>
      </w:r>
      <w:r>
        <w:rPr>
          <w:rFonts w:hint="eastAsia" w:eastAsia="仿宋" w:cs="仿宋"/>
          <w:color w:val="auto"/>
          <w:sz w:val="24"/>
          <w:lang w:bidi="ar"/>
        </w:rPr>
        <w:t>“供应商基本情况”（如需）应提供符合要求的相关证明材料的复印件。</w:t>
      </w:r>
    </w:p>
    <w:p w14:paraId="01121CCB">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3.5.2 </w:t>
      </w:r>
      <w:r>
        <w:rPr>
          <w:rFonts w:hint="eastAsia" w:eastAsia="仿宋" w:cs="仿宋"/>
          <w:color w:val="auto"/>
          <w:sz w:val="24"/>
          <w:lang w:bidi="ar"/>
        </w:rPr>
        <w:t>“近年财务状况”（如需）应附经会计师事务所或审计机构审计的财务会计报表，包括资产负债表、现金流量表、利润表和财务情况说明书的复印件，具体年份要求等见供应商须知前附表规定。供应商成立时间少于供应商须知前附表规定年份的，应提供成立以来的财务状况表。</w:t>
      </w:r>
    </w:p>
    <w:p w14:paraId="2EE75AF5">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3.5.3 </w:t>
      </w:r>
      <w:r>
        <w:rPr>
          <w:rFonts w:hint="eastAsia" w:eastAsia="仿宋" w:cs="仿宋"/>
          <w:color w:val="auto"/>
          <w:sz w:val="24"/>
          <w:lang w:bidi="ar"/>
        </w:rPr>
        <w:t>“近年类似项目”（如需）应附符合竞争性磋商文件规定的证明材料，具体年份要求见供应商须知前附表。</w:t>
      </w:r>
    </w:p>
    <w:p w14:paraId="7C994038">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3.5.4 </w:t>
      </w:r>
      <w:r>
        <w:rPr>
          <w:rFonts w:hint="eastAsia" w:eastAsia="仿宋" w:cs="仿宋"/>
          <w:color w:val="auto"/>
          <w:sz w:val="24"/>
          <w:lang w:bidi="ar"/>
        </w:rPr>
        <w:t>供应商须知前附表规定接受联合体响应的，本章第</w:t>
      </w:r>
      <w:r>
        <w:rPr>
          <w:rFonts w:eastAsia="仿宋"/>
          <w:color w:val="auto"/>
          <w:sz w:val="24"/>
          <w:lang w:bidi="ar"/>
        </w:rPr>
        <w:t>3.5.1</w:t>
      </w:r>
      <w:r>
        <w:rPr>
          <w:rFonts w:hint="eastAsia" w:eastAsia="仿宋" w:cs="仿宋"/>
          <w:color w:val="auto"/>
          <w:sz w:val="24"/>
          <w:lang w:bidi="ar"/>
        </w:rPr>
        <w:t>项至第</w:t>
      </w:r>
      <w:r>
        <w:rPr>
          <w:rFonts w:eastAsia="仿宋"/>
          <w:color w:val="auto"/>
          <w:sz w:val="24"/>
          <w:lang w:bidi="ar"/>
        </w:rPr>
        <w:t>3.5.3</w:t>
      </w:r>
      <w:r>
        <w:rPr>
          <w:rFonts w:hint="eastAsia" w:eastAsia="仿宋" w:cs="仿宋"/>
          <w:color w:val="auto"/>
          <w:sz w:val="24"/>
          <w:lang w:bidi="ar"/>
        </w:rPr>
        <w:t>项规定的资料包括联合体各方成员相关情况。</w:t>
      </w:r>
    </w:p>
    <w:p w14:paraId="1E419A2C">
      <w:pPr>
        <w:pStyle w:val="4"/>
        <w:adjustRightInd w:val="0"/>
        <w:ind w:firstLine="482" w:firstLineChars="200"/>
        <w:rPr>
          <w:rFonts w:eastAsia="仿宋"/>
          <w:color w:val="auto"/>
          <w:sz w:val="24"/>
        </w:rPr>
      </w:pPr>
      <w:bookmarkStart w:id="325" w:name="_Toc445554714"/>
      <w:bookmarkStart w:id="326" w:name="_Toc371415942"/>
      <w:bookmarkStart w:id="327" w:name="_Toc455587241"/>
      <w:bookmarkStart w:id="328" w:name="_Toc458504841"/>
      <w:bookmarkStart w:id="329" w:name="_Toc455587057"/>
      <w:bookmarkStart w:id="330" w:name="_Toc466024523"/>
      <w:r>
        <w:rPr>
          <w:rFonts w:eastAsia="仿宋"/>
          <w:color w:val="auto"/>
          <w:sz w:val="24"/>
        </w:rPr>
        <w:t xml:space="preserve">3.6 </w:t>
      </w:r>
      <w:r>
        <w:rPr>
          <w:rFonts w:eastAsia="仿宋" w:cs="仿宋"/>
          <w:color w:val="auto"/>
          <w:sz w:val="24"/>
        </w:rPr>
        <w:t>响应文件的编制</w:t>
      </w:r>
      <w:bookmarkEnd w:id="325"/>
      <w:bookmarkEnd w:id="326"/>
      <w:bookmarkEnd w:id="327"/>
      <w:bookmarkEnd w:id="328"/>
      <w:bookmarkEnd w:id="329"/>
      <w:bookmarkEnd w:id="330"/>
    </w:p>
    <w:p w14:paraId="55C4428E">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3.6.1 </w:t>
      </w:r>
      <w:r>
        <w:rPr>
          <w:rFonts w:hint="eastAsia" w:eastAsia="仿宋" w:cs="仿宋"/>
          <w:color w:val="auto"/>
          <w:sz w:val="24"/>
          <w:lang w:bidi="ar"/>
        </w:rPr>
        <w:t>响应文件应按</w:t>
      </w:r>
      <w:r>
        <w:rPr>
          <w:rFonts w:hint="eastAsia" w:ascii="Times New Roman" w:hAnsi="Times New Roman" w:eastAsia="仿宋" w:cs="仿宋"/>
          <w:color w:val="auto"/>
          <w:sz w:val="24"/>
          <w:lang w:bidi="ar"/>
        </w:rPr>
        <w:t>竞争性磋商文件</w:t>
      </w:r>
      <w:r>
        <w:rPr>
          <w:rFonts w:hint="eastAsia" w:eastAsia="仿宋" w:cs="仿宋"/>
          <w:color w:val="auto"/>
          <w:sz w:val="24"/>
          <w:lang w:bidi="ar"/>
        </w:rPr>
        <w:t>规定格式进行编写，如有必要，可以增加附页、扩展表格，作为响应文件的组成部分。</w:t>
      </w:r>
    </w:p>
    <w:p w14:paraId="653A20BE">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3.6.2 </w:t>
      </w:r>
      <w:r>
        <w:rPr>
          <w:rFonts w:hint="eastAsia" w:eastAsia="仿宋" w:cs="仿宋"/>
          <w:color w:val="auto"/>
          <w:sz w:val="24"/>
          <w:lang w:bidi="ar"/>
        </w:rPr>
        <w:t>响应文件应当对竞争性磋商文件有关采购需求、服务期、服务要求、响应报价要求、响应文件有效期、合同条款等实质性内容做出响应。响应文件在满足竞争性磋商文件实质性要求的基础上，可以提出比竞争性磋商文件要求更有利于采购人的承诺。</w:t>
      </w:r>
    </w:p>
    <w:p w14:paraId="02070D17">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3.6.3 </w:t>
      </w:r>
      <w:r>
        <w:rPr>
          <w:rFonts w:hint="eastAsia" w:eastAsia="仿宋" w:cs="仿宋"/>
          <w:color w:val="auto"/>
          <w:sz w:val="24"/>
          <w:lang w:bidi="ar"/>
        </w:rPr>
        <w:t>供应商必须对其提交的资料的真实性负责，并接受采购人对其中任何资料进一步审查的要求。</w:t>
      </w:r>
    </w:p>
    <w:p w14:paraId="638DECB1">
      <w:pPr>
        <w:pStyle w:val="3"/>
        <w:widowControl/>
        <w:rPr>
          <w:rFonts w:hint="default" w:ascii="Calibri" w:hAnsi="Calibri" w:eastAsia="仿宋" w:cs="方正书宋简体"/>
          <w:color w:val="auto"/>
          <w:sz w:val="24"/>
          <w:szCs w:val="24"/>
        </w:rPr>
      </w:pPr>
      <w:bookmarkStart w:id="331" w:name="_Toc342294740"/>
      <w:bookmarkStart w:id="332" w:name="_Toc342296188"/>
      <w:bookmarkStart w:id="333" w:name="_Toc338944631"/>
      <w:bookmarkStart w:id="334" w:name="_Toc455587058"/>
      <w:bookmarkStart w:id="335" w:name="_Toc152042331"/>
      <w:bookmarkStart w:id="336" w:name="_Toc338943726"/>
      <w:bookmarkStart w:id="337" w:name="_Toc152045555"/>
      <w:bookmarkStart w:id="338" w:name="_Toc371415943"/>
      <w:bookmarkStart w:id="339" w:name="_Toc333600709"/>
      <w:bookmarkStart w:id="340" w:name="_Toc466024524"/>
      <w:bookmarkStart w:id="341" w:name="_Toc342297645"/>
      <w:bookmarkStart w:id="342" w:name="_Toc458504842"/>
      <w:bookmarkStart w:id="343" w:name="_Toc144974523"/>
      <w:bookmarkStart w:id="344" w:name="_Toc445554715"/>
      <w:bookmarkStart w:id="345" w:name="_Toc333599685"/>
      <w:bookmarkStart w:id="346" w:name="_Toc179632573"/>
      <w:bookmarkStart w:id="347" w:name="_Toc455587242"/>
      <w:r>
        <w:rPr>
          <w:rStyle w:val="19"/>
          <w:rFonts w:hint="default" w:ascii="Calibri" w:hAnsi="Calibri" w:eastAsia="仿宋"/>
          <w:b/>
          <w:bCs/>
          <w:color w:val="auto"/>
          <w:sz w:val="24"/>
          <w:szCs w:val="24"/>
        </w:rPr>
        <w:t xml:space="preserve">4. </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Style w:val="19"/>
          <w:rFonts w:ascii="Calibri" w:hAnsi="Calibri" w:eastAsia="仿宋" w:cs="仿宋"/>
          <w:b/>
          <w:bCs/>
          <w:color w:val="auto"/>
          <w:sz w:val="24"/>
          <w:szCs w:val="24"/>
        </w:rPr>
        <w:t>响应文件的提交</w:t>
      </w:r>
    </w:p>
    <w:p w14:paraId="56BE2B20">
      <w:pPr>
        <w:widowControl/>
        <w:adjustRightInd w:val="0"/>
        <w:snapToGrid w:val="0"/>
        <w:spacing w:line="360" w:lineRule="auto"/>
        <w:ind w:firstLine="480" w:firstLineChars="200"/>
        <w:rPr>
          <w:rFonts w:eastAsia="仿宋" w:cs="仿宋"/>
          <w:color w:val="auto"/>
          <w:sz w:val="24"/>
          <w:lang w:bidi="ar"/>
        </w:rPr>
      </w:pPr>
      <w:bookmarkStart w:id="348" w:name="_Toc333599689"/>
      <w:bookmarkStart w:id="349" w:name="_Toc342297649"/>
      <w:bookmarkStart w:id="350" w:name="_Toc179632577"/>
      <w:bookmarkStart w:id="351" w:name="_Toc455587062"/>
      <w:bookmarkStart w:id="352" w:name="_Toc342294744"/>
      <w:bookmarkStart w:id="353" w:name="_Toc152042335"/>
      <w:bookmarkStart w:id="354" w:name="_Toc445554719"/>
      <w:bookmarkStart w:id="355" w:name="_Toc144974527"/>
      <w:bookmarkStart w:id="356" w:name="_Toc152045559"/>
      <w:bookmarkStart w:id="357" w:name="_Toc458504846"/>
      <w:bookmarkStart w:id="358" w:name="_Toc333600713"/>
      <w:bookmarkStart w:id="359" w:name="_Toc466024528"/>
      <w:bookmarkStart w:id="360" w:name="_Toc338944635"/>
      <w:bookmarkStart w:id="361" w:name="_Toc455587246"/>
      <w:bookmarkStart w:id="362" w:name="_Toc342296192"/>
      <w:bookmarkStart w:id="363" w:name="_Toc371415947"/>
      <w:bookmarkStart w:id="364" w:name="_Toc338943730"/>
      <w:r>
        <w:rPr>
          <w:rFonts w:hint="eastAsia" w:eastAsia="仿宋" w:cs="仿宋"/>
          <w:color w:val="auto"/>
          <w:sz w:val="24"/>
          <w:lang w:bidi="ar"/>
        </w:rPr>
        <w:t>4.1响应文件的提交：见供应商须知前附表。</w:t>
      </w:r>
    </w:p>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14:paraId="58895FE3">
      <w:pPr>
        <w:pStyle w:val="3"/>
        <w:widowControl/>
        <w:rPr>
          <w:rFonts w:hint="default" w:ascii="Calibri" w:hAnsi="Calibri" w:eastAsia="仿宋" w:cs="方正书宋简体"/>
          <w:color w:val="auto"/>
          <w:sz w:val="24"/>
          <w:szCs w:val="24"/>
        </w:rPr>
      </w:pPr>
      <w:bookmarkStart w:id="365" w:name="_Toc342296195"/>
      <w:bookmarkStart w:id="366" w:name="_Toc342297652"/>
      <w:bookmarkStart w:id="367" w:name="_Toc466024531"/>
      <w:bookmarkStart w:id="368" w:name="_Toc342294747"/>
      <w:bookmarkStart w:id="369" w:name="_Toc445554723"/>
      <w:bookmarkStart w:id="370" w:name="_Toc338944638"/>
      <w:bookmarkStart w:id="371" w:name="_Toc458504849"/>
      <w:bookmarkStart w:id="372" w:name="_Toc144974530"/>
      <w:bookmarkStart w:id="373" w:name="_Toc179632580"/>
      <w:bookmarkStart w:id="374" w:name="_Toc333599692"/>
      <w:bookmarkStart w:id="375" w:name="_Toc338943733"/>
      <w:bookmarkStart w:id="376" w:name="_Toc371415950"/>
      <w:bookmarkStart w:id="377" w:name="_Toc333600716"/>
      <w:bookmarkStart w:id="378" w:name="_Toc152042338"/>
      <w:bookmarkStart w:id="379" w:name="_Toc152045562"/>
      <w:bookmarkStart w:id="380" w:name="_Toc455587250"/>
      <w:bookmarkStart w:id="381" w:name="_Toc455587066"/>
      <w:r>
        <w:rPr>
          <w:rStyle w:val="19"/>
          <w:rFonts w:ascii="Calibri" w:hAnsi="Calibri" w:eastAsia="仿宋"/>
          <w:b/>
          <w:bCs/>
          <w:color w:val="auto"/>
          <w:sz w:val="24"/>
          <w:szCs w:val="24"/>
        </w:rPr>
        <w:t>5</w:t>
      </w:r>
      <w:r>
        <w:rPr>
          <w:rStyle w:val="19"/>
          <w:rFonts w:hint="default" w:ascii="Calibri" w:hAnsi="Calibri" w:eastAsia="仿宋"/>
          <w:b/>
          <w:bCs/>
          <w:color w:val="auto"/>
          <w:sz w:val="24"/>
          <w:szCs w:val="24"/>
        </w:rPr>
        <w:t xml:space="preserve">. </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Pr>
          <w:rStyle w:val="19"/>
          <w:rFonts w:ascii="Calibri" w:hAnsi="Calibri" w:eastAsia="仿宋" w:cs="仿宋"/>
          <w:b/>
          <w:bCs/>
          <w:color w:val="auto"/>
          <w:sz w:val="24"/>
          <w:szCs w:val="24"/>
        </w:rPr>
        <w:t>评审</w:t>
      </w:r>
    </w:p>
    <w:p w14:paraId="29306B92">
      <w:pPr>
        <w:pStyle w:val="4"/>
        <w:adjustRightInd w:val="0"/>
        <w:ind w:firstLine="482" w:firstLineChars="200"/>
        <w:rPr>
          <w:rFonts w:eastAsia="仿宋"/>
          <w:color w:val="auto"/>
          <w:sz w:val="24"/>
        </w:rPr>
      </w:pPr>
      <w:r>
        <w:rPr>
          <w:rFonts w:eastAsia="仿宋"/>
          <w:color w:val="auto"/>
          <w:sz w:val="24"/>
        </w:rPr>
        <w:t>5.1</w:t>
      </w:r>
      <w:r>
        <w:rPr>
          <w:rFonts w:eastAsia="仿宋" w:cs="仿宋"/>
          <w:color w:val="auto"/>
          <w:sz w:val="24"/>
        </w:rPr>
        <w:t>竞争性磋商小组</w:t>
      </w:r>
    </w:p>
    <w:p w14:paraId="419B8D4A">
      <w:pPr>
        <w:widowControl/>
        <w:adjustRightInd w:val="0"/>
        <w:snapToGrid w:val="0"/>
        <w:spacing w:line="360" w:lineRule="auto"/>
        <w:ind w:firstLine="480" w:firstLineChars="200"/>
        <w:rPr>
          <w:rFonts w:eastAsia="仿宋" w:cs="仿宋"/>
          <w:color w:val="auto"/>
          <w:sz w:val="24"/>
          <w:lang w:bidi="ar"/>
        </w:rPr>
      </w:pPr>
      <w:r>
        <w:rPr>
          <w:rFonts w:hint="eastAsia" w:eastAsia="仿宋"/>
          <w:color w:val="auto"/>
          <w:sz w:val="24"/>
          <w:lang w:bidi="ar"/>
        </w:rPr>
        <w:t>5</w:t>
      </w:r>
      <w:r>
        <w:rPr>
          <w:rFonts w:eastAsia="仿宋"/>
          <w:color w:val="auto"/>
          <w:sz w:val="24"/>
          <w:lang w:bidi="ar"/>
        </w:rPr>
        <w:t>.1.1</w:t>
      </w:r>
      <w:r>
        <w:rPr>
          <w:rFonts w:hint="eastAsia" w:eastAsia="仿宋" w:cs="仿宋"/>
          <w:color w:val="auto"/>
          <w:sz w:val="24"/>
          <w:lang w:bidi="ar"/>
        </w:rPr>
        <w:t>竞争性磋商与评审由采购人组建的竞争性磋商小组（以下简称竞争性磋商小组）负责。竞争性磋商小组人数为</w:t>
      </w:r>
      <w:r>
        <w:rPr>
          <w:rFonts w:eastAsia="仿宋"/>
          <w:color w:val="auto"/>
          <w:sz w:val="24"/>
          <w:lang w:bidi="ar"/>
        </w:rPr>
        <w:t>3</w:t>
      </w:r>
      <w:r>
        <w:rPr>
          <w:rFonts w:hint="eastAsia" w:eastAsia="仿宋" w:cs="仿宋"/>
          <w:color w:val="auto"/>
          <w:sz w:val="24"/>
          <w:lang w:bidi="ar"/>
        </w:rPr>
        <w:t>人及以上单数。</w:t>
      </w:r>
    </w:p>
    <w:p w14:paraId="07883424">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.1.</w:t>
      </w:r>
      <w:r>
        <w:rPr>
          <w:rFonts w:hint="eastAsia" w:eastAsia="仿宋"/>
          <w:color w:val="auto"/>
          <w:sz w:val="24"/>
          <w:lang w:bidi="ar"/>
        </w:rPr>
        <w:t>2</w:t>
      </w:r>
      <w:r>
        <w:rPr>
          <w:rFonts w:hint="eastAsia" w:eastAsia="仿宋" w:cs="仿宋"/>
          <w:color w:val="auto"/>
          <w:sz w:val="24"/>
          <w:lang w:bidi="ar"/>
        </w:rPr>
        <w:t>竞争性磋商与评审过程中，竞争性磋商小组成员有回避事由、擅离职守或者因健康等原因不能继续竞争性磋商与评审的，采购人有权更换。被更换的竞争性磋商小组成员作出的评审结论无效，由更换后的竞争性磋商小组成员重新进行竞争性磋商与评审。</w:t>
      </w:r>
    </w:p>
    <w:p w14:paraId="0F44FDE8">
      <w:pPr>
        <w:pStyle w:val="4"/>
        <w:adjustRightInd w:val="0"/>
        <w:ind w:firstLine="482" w:firstLineChars="200"/>
        <w:rPr>
          <w:rFonts w:eastAsia="仿宋"/>
          <w:color w:val="auto"/>
          <w:sz w:val="24"/>
        </w:rPr>
      </w:pPr>
      <w:r>
        <w:rPr>
          <w:rFonts w:eastAsia="仿宋"/>
          <w:color w:val="auto"/>
          <w:sz w:val="24"/>
        </w:rPr>
        <w:t>5.2</w:t>
      </w:r>
      <w:r>
        <w:rPr>
          <w:rFonts w:eastAsia="仿宋" w:cs="仿宋"/>
          <w:color w:val="auto"/>
          <w:sz w:val="24"/>
        </w:rPr>
        <w:t>竞争性磋商</w:t>
      </w:r>
    </w:p>
    <w:p w14:paraId="64CD62EE">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.2.1</w:t>
      </w:r>
      <w:r>
        <w:rPr>
          <w:rFonts w:hint="eastAsia" w:eastAsia="仿宋" w:cs="仿宋"/>
          <w:color w:val="auto"/>
          <w:sz w:val="24"/>
          <w:lang w:bidi="ar"/>
        </w:rPr>
        <w:t>竞争性磋商小组按供应商须知前附表规定的顺序分别与供应商进行竞争性磋商，给予所有参加竞争性磋商的供应商平等的竞争性磋商机会。</w:t>
      </w:r>
    </w:p>
    <w:p w14:paraId="36592066">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.2.2</w:t>
      </w:r>
      <w:r>
        <w:rPr>
          <w:rFonts w:hint="eastAsia" w:eastAsia="仿宋" w:cs="仿宋"/>
          <w:color w:val="auto"/>
          <w:sz w:val="24"/>
          <w:lang w:bidi="ar"/>
        </w:rPr>
        <w:t>符合资格条件的供应商不得少于</w:t>
      </w:r>
      <w:r>
        <w:rPr>
          <w:rFonts w:eastAsia="仿宋"/>
          <w:color w:val="auto"/>
          <w:sz w:val="24"/>
          <w:lang w:bidi="ar"/>
        </w:rPr>
        <w:t>3</w:t>
      </w:r>
      <w:r>
        <w:rPr>
          <w:rFonts w:hint="eastAsia" w:eastAsia="仿宋" w:cs="仿宋"/>
          <w:color w:val="auto"/>
          <w:sz w:val="24"/>
          <w:lang w:bidi="ar"/>
        </w:rPr>
        <w:t>家，否则应当终止本次采购。</w:t>
      </w:r>
    </w:p>
    <w:p w14:paraId="143CBE07">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.2.3</w:t>
      </w:r>
      <w:r>
        <w:rPr>
          <w:rFonts w:hint="eastAsia" w:eastAsia="仿宋" w:cs="仿宋"/>
          <w:color w:val="auto"/>
          <w:sz w:val="24"/>
          <w:lang w:bidi="ar"/>
        </w:rPr>
        <w:t>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认。对竞争性磋商文件作出的实质性变动是竞争性磋商文件的有效组成部分，竞争性磋商小组将及时以书面形式同时通知所有参加竞争性磋商的供应商。可能实质性变动内容见供应商须知前附表。</w:t>
      </w:r>
    </w:p>
    <w:p w14:paraId="7952C544">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.2.4</w:t>
      </w:r>
      <w:r>
        <w:rPr>
          <w:rFonts w:hint="eastAsia" w:eastAsia="仿宋" w:cs="仿宋"/>
          <w:color w:val="auto"/>
          <w:sz w:val="24"/>
          <w:lang w:bidi="ar"/>
        </w:rPr>
        <w:t>供应商应当按照竞争性磋商文件的变动情况和竞争性磋商小组的要求重新提交响应文件或作出变动说明。</w:t>
      </w:r>
    </w:p>
    <w:p w14:paraId="7766C0C7">
      <w:pPr>
        <w:pStyle w:val="4"/>
        <w:adjustRightInd w:val="0"/>
        <w:ind w:firstLine="482" w:firstLineChars="200"/>
        <w:rPr>
          <w:rFonts w:eastAsia="仿宋"/>
          <w:color w:val="auto"/>
          <w:sz w:val="24"/>
        </w:rPr>
      </w:pPr>
      <w:r>
        <w:rPr>
          <w:rFonts w:eastAsia="仿宋"/>
          <w:color w:val="auto"/>
          <w:sz w:val="24"/>
        </w:rPr>
        <w:t>5.3</w:t>
      </w:r>
      <w:r>
        <w:rPr>
          <w:rFonts w:eastAsia="仿宋" w:cs="仿宋"/>
          <w:color w:val="auto"/>
          <w:sz w:val="24"/>
        </w:rPr>
        <w:t>评审原则</w:t>
      </w:r>
    </w:p>
    <w:p w14:paraId="3BFE94E5">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竞争性磋商小组应该按照客观、公正、审慎的原则，根据竞争性磋商文件规定的评审程序、评审方法和评审标准进行独立评审。</w:t>
      </w:r>
    </w:p>
    <w:p w14:paraId="30A2DFBF">
      <w:pPr>
        <w:pStyle w:val="4"/>
        <w:adjustRightInd w:val="0"/>
        <w:ind w:firstLine="482" w:firstLineChars="200"/>
        <w:rPr>
          <w:rFonts w:eastAsia="仿宋"/>
          <w:color w:val="auto"/>
          <w:sz w:val="24"/>
        </w:rPr>
      </w:pPr>
      <w:r>
        <w:rPr>
          <w:rFonts w:eastAsia="仿宋"/>
          <w:color w:val="auto"/>
          <w:sz w:val="24"/>
        </w:rPr>
        <w:t>5.4</w:t>
      </w:r>
      <w:r>
        <w:rPr>
          <w:rFonts w:eastAsia="仿宋" w:cs="仿宋"/>
          <w:color w:val="auto"/>
          <w:sz w:val="24"/>
        </w:rPr>
        <w:t>评审办法</w:t>
      </w:r>
    </w:p>
    <w:p w14:paraId="736E71F5">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w:t>
      </w:r>
      <w:r>
        <w:rPr>
          <w:rFonts w:hint="eastAsia" w:eastAsia="仿宋"/>
          <w:color w:val="auto"/>
          <w:sz w:val="24"/>
          <w:lang w:bidi="ar"/>
        </w:rPr>
        <w:t>4</w:t>
      </w:r>
      <w:r>
        <w:rPr>
          <w:rFonts w:eastAsia="仿宋"/>
          <w:color w:val="auto"/>
          <w:sz w:val="24"/>
          <w:lang w:bidi="ar"/>
        </w:rPr>
        <w:t>.1</w:t>
      </w:r>
      <w:r>
        <w:rPr>
          <w:rFonts w:hint="eastAsia" w:eastAsia="仿宋" w:cs="仿宋"/>
          <w:color w:val="auto"/>
          <w:sz w:val="24"/>
          <w:lang w:bidi="ar"/>
        </w:rPr>
        <w:t>竞争性磋商小组按照竞争性磋商文件规定的方法、评审因素、标准和程序对响应文件进行评审。竞争性磋商文件没有规定的方法、评审因素和标准，不作为评审依据。</w:t>
      </w:r>
    </w:p>
    <w:p w14:paraId="6F16C075">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5</w:t>
      </w:r>
      <w:r>
        <w:rPr>
          <w:rFonts w:eastAsia="仿宋"/>
          <w:color w:val="auto"/>
          <w:sz w:val="24"/>
          <w:lang w:bidi="ar"/>
        </w:rPr>
        <w:t>.</w:t>
      </w:r>
      <w:r>
        <w:rPr>
          <w:rFonts w:hint="eastAsia" w:eastAsia="仿宋"/>
          <w:color w:val="auto"/>
          <w:sz w:val="24"/>
          <w:lang w:bidi="ar"/>
        </w:rPr>
        <w:t>4.2</w:t>
      </w:r>
      <w:r>
        <w:rPr>
          <w:rFonts w:hint="eastAsia" w:eastAsia="仿宋" w:cs="仿宋"/>
          <w:color w:val="auto"/>
          <w:sz w:val="24"/>
          <w:lang w:bidi="ar"/>
        </w:rPr>
        <w:t>评审完成后，竞争性磋商小组应当向采购人提交书面评审报告和成交候选供应商名单。竞争性磋商小组推荐成交候选供应商的家数见供应商须知前附表。</w:t>
      </w:r>
    </w:p>
    <w:p w14:paraId="56E23D77">
      <w:pPr>
        <w:pStyle w:val="3"/>
        <w:widowControl/>
        <w:rPr>
          <w:rFonts w:hint="default" w:ascii="Calibri" w:hAnsi="Calibri" w:eastAsia="仿宋" w:cs="方正书宋简体"/>
          <w:color w:val="auto"/>
          <w:sz w:val="24"/>
          <w:szCs w:val="24"/>
        </w:rPr>
      </w:pPr>
      <w:bookmarkStart w:id="382" w:name="_Toc455587070"/>
      <w:bookmarkStart w:id="383" w:name="_Toc458504853"/>
      <w:bookmarkStart w:id="384" w:name="_Toc144974534"/>
      <w:bookmarkStart w:id="385" w:name="_Toc342297656"/>
      <w:bookmarkStart w:id="386" w:name="_Toc445554727"/>
      <w:bookmarkStart w:id="387" w:name="_Toc152042342"/>
      <w:bookmarkStart w:id="388" w:name="_Toc179632584"/>
      <w:bookmarkStart w:id="389" w:name="_Toc455587254"/>
      <w:bookmarkStart w:id="390" w:name="_Toc338943737"/>
      <w:bookmarkStart w:id="391" w:name="_Toc333599696"/>
      <w:bookmarkStart w:id="392" w:name="_Toc466024535"/>
      <w:bookmarkStart w:id="393" w:name="_Toc333600720"/>
      <w:bookmarkStart w:id="394" w:name="_Toc152045566"/>
      <w:bookmarkStart w:id="395" w:name="_Toc342296199"/>
      <w:bookmarkStart w:id="396" w:name="_Toc338944642"/>
      <w:bookmarkStart w:id="397" w:name="_Toc371415954"/>
      <w:bookmarkStart w:id="398" w:name="_Toc342294751"/>
      <w:r>
        <w:rPr>
          <w:rStyle w:val="19"/>
          <w:rFonts w:ascii="Calibri" w:hAnsi="Calibri" w:eastAsia="仿宋"/>
          <w:b/>
          <w:bCs/>
          <w:color w:val="auto"/>
          <w:sz w:val="24"/>
          <w:szCs w:val="24"/>
        </w:rPr>
        <w:t>6</w:t>
      </w:r>
      <w:r>
        <w:rPr>
          <w:rStyle w:val="19"/>
          <w:rFonts w:hint="default" w:ascii="Calibri" w:hAnsi="Calibri" w:eastAsia="仿宋"/>
          <w:b/>
          <w:bCs/>
          <w:color w:val="auto"/>
          <w:sz w:val="24"/>
          <w:szCs w:val="24"/>
        </w:rPr>
        <w:t xml:space="preserve">. </w:t>
      </w:r>
      <w:r>
        <w:rPr>
          <w:rStyle w:val="19"/>
          <w:rFonts w:ascii="Calibri" w:hAnsi="Calibri" w:eastAsia="仿宋" w:cs="仿宋"/>
          <w:b/>
          <w:bCs/>
          <w:color w:val="auto"/>
          <w:sz w:val="24"/>
          <w:szCs w:val="24"/>
        </w:rPr>
        <w:t>合同授予</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405CECE6">
      <w:pPr>
        <w:pStyle w:val="4"/>
        <w:adjustRightInd w:val="0"/>
        <w:ind w:firstLine="482" w:firstLineChars="200"/>
        <w:rPr>
          <w:rFonts w:eastAsia="仿宋"/>
          <w:color w:val="auto"/>
          <w:sz w:val="24"/>
        </w:rPr>
      </w:pPr>
      <w:bookmarkStart w:id="399" w:name="_Toc466024536"/>
      <w:bookmarkStart w:id="400" w:name="_Toc458504854"/>
      <w:bookmarkStart w:id="401" w:name="_Toc362252685"/>
      <w:bookmarkStart w:id="402" w:name="_Toc455587071"/>
      <w:bookmarkStart w:id="403" w:name="_Toc455587255"/>
      <w:bookmarkStart w:id="404" w:name="_Toc371415955"/>
      <w:bookmarkStart w:id="405" w:name="_Toc349730879"/>
      <w:bookmarkStart w:id="406" w:name="_Toc445554728"/>
      <w:bookmarkStart w:id="407" w:name="_Toc333587891"/>
      <w:bookmarkStart w:id="408" w:name="_Toc144974535"/>
      <w:bookmarkStart w:id="409" w:name="_Toc152045567"/>
      <w:bookmarkStart w:id="410" w:name="_Toc333600721"/>
      <w:bookmarkStart w:id="411" w:name="_Toc342296200"/>
      <w:bookmarkStart w:id="412" w:name="_Toc179632585"/>
      <w:bookmarkStart w:id="413" w:name="_Toc333599697"/>
      <w:bookmarkStart w:id="414" w:name="_Toc338943738"/>
      <w:bookmarkStart w:id="415" w:name="_Toc152042343"/>
      <w:bookmarkStart w:id="416" w:name="_Toc338944643"/>
      <w:bookmarkStart w:id="417" w:name="_Toc342297657"/>
      <w:bookmarkStart w:id="418" w:name="_Toc342294752"/>
      <w:r>
        <w:rPr>
          <w:rFonts w:eastAsia="仿宋"/>
          <w:color w:val="auto"/>
          <w:sz w:val="24"/>
        </w:rPr>
        <w:t>6.1</w:t>
      </w:r>
      <w:bookmarkEnd w:id="399"/>
      <w:bookmarkEnd w:id="400"/>
      <w:bookmarkEnd w:id="401"/>
      <w:bookmarkEnd w:id="402"/>
      <w:bookmarkEnd w:id="403"/>
      <w:bookmarkEnd w:id="404"/>
      <w:bookmarkEnd w:id="405"/>
      <w:bookmarkEnd w:id="406"/>
      <w:r>
        <w:rPr>
          <w:rFonts w:eastAsia="仿宋"/>
          <w:color w:val="auto"/>
          <w:sz w:val="24"/>
        </w:rPr>
        <w:t xml:space="preserve"> </w:t>
      </w:r>
      <w:r>
        <w:rPr>
          <w:rFonts w:eastAsia="仿宋" w:cs="仿宋"/>
          <w:color w:val="auto"/>
          <w:sz w:val="24"/>
        </w:rPr>
        <w:t>确定成交供应商</w:t>
      </w:r>
    </w:p>
    <w:p w14:paraId="47F91842">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6</w:t>
      </w:r>
      <w:r>
        <w:rPr>
          <w:rFonts w:eastAsia="仿宋"/>
          <w:color w:val="auto"/>
          <w:sz w:val="24"/>
          <w:lang w:bidi="ar"/>
        </w:rPr>
        <w:t xml:space="preserve">.1.1 </w:t>
      </w:r>
      <w:r>
        <w:rPr>
          <w:rFonts w:hint="eastAsia" w:eastAsia="仿宋" w:cs="仿宋"/>
          <w:color w:val="auto"/>
          <w:sz w:val="24"/>
          <w:lang w:bidi="ar"/>
        </w:rPr>
        <w:t>按照供应商须知前附表规定，采购人或采购人委托的评审委员</w:t>
      </w:r>
      <w:r>
        <w:rPr>
          <w:rFonts w:hint="eastAsia" w:eastAsia="仿宋" w:cs="Calibri"/>
          <w:color w:val="auto"/>
          <w:kern w:val="0"/>
          <w:sz w:val="24"/>
          <w:lang w:bidi="ar"/>
        </w:rPr>
        <w:t>在评审报告确定的成交候选人名单中按顺序确定成交供应商。成交候选人并列的，由采购人或者采购人委托竞争性磋商小组按照竞争性磋商文件规定的方式确定成交供应商；竞争性磋商文件未规定的，采取随机抽取的方式确定。</w:t>
      </w:r>
    </w:p>
    <w:p w14:paraId="3A247A9D">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6</w:t>
      </w:r>
      <w:r>
        <w:rPr>
          <w:rFonts w:eastAsia="仿宋"/>
          <w:color w:val="auto"/>
          <w:sz w:val="24"/>
          <w:lang w:bidi="ar"/>
        </w:rPr>
        <w:t xml:space="preserve">.1.2 </w:t>
      </w:r>
      <w:r>
        <w:rPr>
          <w:rFonts w:hint="eastAsia" w:eastAsia="仿宋" w:cs="仿宋"/>
          <w:color w:val="auto"/>
          <w:sz w:val="24"/>
          <w:lang w:bidi="ar"/>
        </w:rPr>
        <w:t>采购人确定成交供应商后，按供应商须知前附表的规定发布成交结果公告，公告内容和期限符合供应商须知前附表规定。</w:t>
      </w:r>
    </w:p>
    <w:p w14:paraId="24809C53">
      <w:pPr>
        <w:pStyle w:val="4"/>
        <w:adjustRightInd w:val="0"/>
        <w:ind w:firstLine="482" w:firstLineChars="200"/>
        <w:rPr>
          <w:rFonts w:eastAsia="仿宋"/>
          <w:color w:val="auto"/>
          <w:sz w:val="24"/>
        </w:rPr>
      </w:pPr>
      <w:r>
        <w:rPr>
          <w:rFonts w:eastAsia="仿宋"/>
          <w:color w:val="auto"/>
          <w:sz w:val="24"/>
        </w:rPr>
        <w:t xml:space="preserve">6.2 </w:t>
      </w:r>
      <w:r>
        <w:rPr>
          <w:rFonts w:eastAsia="仿宋" w:cs="仿宋"/>
          <w:color w:val="auto"/>
          <w:sz w:val="24"/>
        </w:rPr>
        <w:t>成交结果质疑</w:t>
      </w:r>
    </w:p>
    <w:p w14:paraId="74F9D3F9">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供应商认为成交结果</w:t>
      </w:r>
      <w:r>
        <w:rPr>
          <w:rFonts w:hint="eastAsia" w:ascii="Times New Roman" w:hAnsi="Times New Roman" w:eastAsia="仿宋" w:cs="仿宋"/>
          <w:color w:val="auto"/>
          <w:sz w:val="24"/>
          <w:lang w:bidi="ar"/>
        </w:rPr>
        <w:t>使自己的权益受到损害的，应当在按供应商须知前附表规定的时间和形式向采购人提出书面质疑。以联合体形式参加采购活动的，质疑应当由联合体所有成员共同提出。</w:t>
      </w:r>
    </w:p>
    <w:p w14:paraId="2F45DDA9">
      <w:pPr>
        <w:pStyle w:val="4"/>
        <w:adjustRightInd w:val="0"/>
        <w:ind w:firstLine="482" w:firstLineChars="200"/>
        <w:rPr>
          <w:rFonts w:eastAsia="仿宋"/>
          <w:color w:val="auto"/>
          <w:sz w:val="24"/>
        </w:rPr>
      </w:pPr>
      <w:bookmarkStart w:id="419" w:name="_Toc445554730"/>
      <w:bookmarkStart w:id="420" w:name="_Toc455587072"/>
      <w:bookmarkStart w:id="421" w:name="_Toc371415957"/>
      <w:bookmarkStart w:id="422" w:name="_Toc455587256"/>
      <w:bookmarkStart w:id="423" w:name="_Toc458504855"/>
      <w:bookmarkStart w:id="424" w:name="_Toc466024537"/>
      <w:bookmarkStart w:id="425" w:name="_Toc362252686"/>
      <w:bookmarkStart w:id="426" w:name="_Toc349730880"/>
      <w:r>
        <w:rPr>
          <w:rFonts w:eastAsia="仿宋"/>
          <w:color w:val="auto"/>
          <w:sz w:val="24"/>
        </w:rPr>
        <w:t xml:space="preserve">6.3 </w:t>
      </w:r>
      <w:r>
        <w:rPr>
          <w:rFonts w:eastAsia="仿宋" w:cs="仿宋"/>
          <w:color w:val="auto"/>
          <w:sz w:val="24"/>
        </w:rPr>
        <w:t>成交通知</w:t>
      </w:r>
      <w:bookmarkEnd w:id="419"/>
      <w:bookmarkEnd w:id="420"/>
      <w:bookmarkEnd w:id="421"/>
      <w:bookmarkEnd w:id="422"/>
      <w:bookmarkEnd w:id="423"/>
      <w:bookmarkEnd w:id="424"/>
      <w:bookmarkEnd w:id="425"/>
      <w:bookmarkEnd w:id="426"/>
    </w:p>
    <w:p w14:paraId="26556CF2">
      <w:pPr>
        <w:widowControl/>
        <w:adjustRightInd w:val="0"/>
        <w:snapToGrid w:val="0"/>
        <w:spacing w:line="360" w:lineRule="auto"/>
        <w:ind w:firstLine="480" w:firstLineChars="200"/>
        <w:rPr>
          <w:rFonts w:eastAsia="仿宋"/>
          <w:color w:val="auto"/>
          <w:sz w:val="24"/>
        </w:rPr>
      </w:pPr>
      <w:r>
        <w:rPr>
          <w:rFonts w:hint="eastAsia" w:eastAsia="仿宋"/>
          <w:color w:val="auto"/>
          <w:sz w:val="24"/>
          <w:lang w:bidi="ar"/>
        </w:rPr>
        <w:t>6</w:t>
      </w:r>
      <w:r>
        <w:rPr>
          <w:rFonts w:eastAsia="仿宋"/>
          <w:color w:val="auto"/>
          <w:sz w:val="24"/>
          <w:lang w:bidi="ar"/>
        </w:rPr>
        <w:t xml:space="preserve">.3.1 </w:t>
      </w:r>
      <w:r>
        <w:rPr>
          <w:rFonts w:hint="eastAsia" w:eastAsia="仿宋" w:cs="仿宋"/>
          <w:color w:val="auto"/>
          <w:sz w:val="24"/>
          <w:lang w:bidi="ar"/>
        </w:rPr>
        <w:t>成交结果确定后，采购人以书面形式向成交供应商发出成交通知书。</w:t>
      </w:r>
    </w:p>
    <w:p w14:paraId="36413D82">
      <w:pPr>
        <w:pStyle w:val="3"/>
        <w:widowControl/>
        <w:rPr>
          <w:rFonts w:eastAsia="仿宋"/>
          <w:color w:val="auto"/>
          <w:sz w:val="24"/>
          <w:szCs w:val="24"/>
        </w:rPr>
      </w:pPr>
      <w:bookmarkStart w:id="427" w:name="_Toc371415958"/>
      <w:bookmarkStart w:id="428" w:name="_Toc455587073"/>
      <w:bookmarkStart w:id="429" w:name="_Toc362252687"/>
      <w:bookmarkStart w:id="430" w:name="_Toc458504856"/>
      <w:bookmarkStart w:id="431" w:name="_Toc455587257"/>
      <w:bookmarkStart w:id="432" w:name="_Toc445554731"/>
      <w:bookmarkStart w:id="433" w:name="_Toc466024538"/>
      <w:bookmarkStart w:id="434" w:name="_Toc349730881"/>
      <w:r>
        <w:rPr>
          <w:rFonts w:eastAsia="仿宋"/>
          <w:color w:val="auto"/>
          <w:sz w:val="24"/>
          <w:szCs w:val="24"/>
        </w:rPr>
        <w:t xml:space="preserve">7.4 </w:t>
      </w:r>
      <w:r>
        <w:rPr>
          <w:rFonts w:ascii="楷体_GB2312" w:hAnsi="楷体_GB2312" w:eastAsia="仿宋" w:cs="仿宋"/>
          <w:color w:val="auto"/>
          <w:sz w:val="24"/>
          <w:szCs w:val="24"/>
        </w:rPr>
        <w:t>履约</w:t>
      </w:r>
      <w:bookmarkEnd w:id="427"/>
      <w:bookmarkEnd w:id="428"/>
      <w:bookmarkEnd w:id="429"/>
      <w:bookmarkEnd w:id="430"/>
      <w:bookmarkEnd w:id="431"/>
      <w:bookmarkEnd w:id="432"/>
      <w:bookmarkEnd w:id="433"/>
      <w:bookmarkEnd w:id="434"/>
      <w:r>
        <w:rPr>
          <w:rFonts w:ascii="楷体_GB2312" w:hAnsi="楷体_GB2312" w:eastAsia="仿宋" w:cs="仿宋"/>
          <w:color w:val="auto"/>
          <w:sz w:val="24"/>
          <w:szCs w:val="24"/>
        </w:rPr>
        <w:t>保证金</w:t>
      </w:r>
    </w:p>
    <w:p w14:paraId="7FE1638A">
      <w:pPr>
        <w:widowControl/>
        <w:adjustRightInd w:val="0"/>
        <w:snapToGrid w:val="0"/>
        <w:spacing w:line="360" w:lineRule="auto"/>
        <w:ind w:firstLine="480" w:firstLineChars="200"/>
        <w:rPr>
          <w:rFonts w:eastAsia="仿宋"/>
          <w:color w:val="auto"/>
          <w:sz w:val="24"/>
        </w:rPr>
      </w:pPr>
      <w:r>
        <w:rPr>
          <w:rFonts w:hint="eastAsia" w:eastAsia="仿宋"/>
          <w:color w:val="auto"/>
          <w:sz w:val="24"/>
        </w:rPr>
        <w:t>本项目不要求。</w:t>
      </w:r>
    </w:p>
    <w:p w14:paraId="04B491A2">
      <w:pPr>
        <w:pStyle w:val="3"/>
        <w:widowControl/>
        <w:rPr>
          <w:rFonts w:eastAsia="仿宋"/>
          <w:color w:val="auto"/>
          <w:sz w:val="24"/>
          <w:szCs w:val="24"/>
        </w:rPr>
      </w:pPr>
      <w:bookmarkStart w:id="435" w:name="_Toc371415959"/>
      <w:bookmarkStart w:id="436" w:name="_Toc362252688"/>
      <w:bookmarkStart w:id="437" w:name="_Toc179632588"/>
      <w:bookmarkStart w:id="438" w:name="_Toc466024539"/>
      <w:bookmarkStart w:id="439" w:name="_Toc338944646"/>
      <w:bookmarkStart w:id="440" w:name="_Toc333599700"/>
      <w:bookmarkStart w:id="441" w:name="_Toc349730882"/>
      <w:bookmarkStart w:id="442" w:name="_Toc458504857"/>
      <w:bookmarkStart w:id="443" w:name="_Toc455587074"/>
      <w:bookmarkStart w:id="444" w:name="_Toc342294755"/>
      <w:bookmarkStart w:id="445" w:name="_Toc333587894"/>
      <w:bookmarkStart w:id="446" w:name="_Toc333600724"/>
      <w:bookmarkStart w:id="447" w:name="_Toc338943741"/>
      <w:bookmarkStart w:id="448" w:name="_Toc445554732"/>
      <w:bookmarkStart w:id="449" w:name="_Toc455587258"/>
      <w:bookmarkStart w:id="450" w:name="_Toc342296203"/>
      <w:r>
        <w:rPr>
          <w:rFonts w:eastAsia="仿宋"/>
          <w:color w:val="auto"/>
          <w:sz w:val="24"/>
          <w:szCs w:val="24"/>
        </w:rPr>
        <w:t xml:space="preserve">7.5 </w:t>
      </w:r>
      <w:r>
        <w:rPr>
          <w:rFonts w:ascii="楷体_GB2312" w:hAnsi="楷体_GB2312" w:eastAsia="仿宋" w:cs="仿宋"/>
          <w:color w:val="auto"/>
          <w:sz w:val="24"/>
          <w:szCs w:val="24"/>
        </w:rPr>
        <w:t>签订合同</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1E43A7EE">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7.5.1 </w:t>
      </w:r>
      <w:r>
        <w:rPr>
          <w:rFonts w:hint="eastAsia" w:eastAsia="仿宋" w:cs="仿宋"/>
          <w:color w:val="auto"/>
          <w:sz w:val="24"/>
          <w:lang w:bidi="ar"/>
        </w:rPr>
        <w:t>除供应商须知前附表另有规定外，</w:t>
      </w:r>
      <w:r>
        <w:rPr>
          <w:rFonts w:hint="eastAsia" w:ascii="Times New Roman" w:hAnsi="Times New Roman" w:eastAsia="仿宋" w:cs="仿宋"/>
          <w:color w:val="auto"/>
          <w:sz w:val="24"/>
          <w:lang w:bidi="ar"/>
        </w:rPr>
        <w:t>采购人和成交供应商应当在成交结果发出之日起</w:t>
      </w:r>
      <w:r>
        <w:rPr>
          <w:rFonts w:ascii="Times New Roman" w:hAnsi="Times New Roman" w:eastAsia="仿宋"/>
          <w:color w:val="auto"/>
          <w:sz w:val="24"/>
          <w:lang w:bidi="ar"/>
        </w:rPr>
        <w:t>30</w:t>
      </w:r>
      <w:r>
        <w:rPr>
          <w:rFonts w:hint="eastAsia" w:ascii="Times New Roman" w:hAnsi="Times New Roman" w:eastAsia="仿宋" w:cs="仿宋"/>
          <w:color w:val="auto"/>
          <w:sz w:val="24"/>
          <w:lang w:bidi="ar"/>
        </w:rPr>
        <w:t>日内，根据竞争性磋商文件和成交供应商的响应文件订立书面合同，所签订的合同不得对竞争性磋商文件确定的事项和成交供应商响应文件作实质性修改。成交供应商无正当理由拒签合同，在签订合同时向采购人提出附加条件，给采购人造成损失的，成交供应商应当给予以赔偿。</w:t>
      </w:r>
    </w:p>
    <w:p w14:paraId="248E1228">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7.5.2 </w:t>
      </w:r>
      <w:r>
        <w:rPr>
          <w:rFonts w:hint="eastAsia" w:eastAsia="仿宋" w:cs="仿宋"/>
          <w:color w:val="auto"/>
          <w:sz w:val="24"/>
          <w:lang w:bidi="ar"/>
        </w:rPr>
        <w:t>因成交供应商原因未签订合同的，采购人可以按照评审报告推荐的成交候选人名单排序，确定下一候选人为成交供应商，也可以重新开展采购活动。</w:t>
      </w:r>
    </w:p>
    <w:p w14:paraId="795B40F3">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7.5.3 </w:t>
      </w:r>
      <w:r>
        <w:rPr>
          <w:rFonts w:hint="eastAsia" w:eastAsia="仿宋" w:cs="仿宋"/>
          <w:color w:val="auto"/>
          <w:sz w:val="24"/>
          <w:lang w:bidi="ar"/>
        </w:rPr>
        <w:t>发出成交通知书后，采购人无正当理由拒签合同的，按照相关规定予以处理。</w:t>
      </w:r>
    </w:p>
    <w:p w14:paraId="3CD7A1DD">
      <w:pPr>
        <w:widowControl/>
        <w:adjustRightInd w:val="0"/>
        <w:snapToGrid w:val="0"/>
        <w:spacing w:line="360" w:lineRule="auto"/>
        <w:ind w:firstLine="480" w:firstLineChars="200"/>
        <w:rPr>
          <w:rFonts w:eastAsia="仿宋"/>
          <w:color w:val="auto"/>
          <w:sz w:val="24"/>
        </w:rPr>
      </w:pPr>
      <w:r>
        <w:rPr>
          <w:rFonts w:eastAsia="仿宋"/>
          <w:color w:val="auto"/>
          <w:sz w:val="24"/>
          <w:lang w:bidi="ar"/>
        </w:rPr>
        <w:t xml:space="preserve">7.5.4 </w:t>
      </w:r>
      <w:r>
        <w:rPr>
          <w:rFonts w:hint="eastAsia" w:eastAsia="仿宋" w:cs="仿宋"/>
          <w:color w:val="auto"/>
          <w:sz w:val="24"/>
          <w:lang w:bidi="ar"/>
        </w:rPr>
        <w:t>联合体成交的，联合体各方应当共同与采购人签订合同，就成交项目向采购人承担连带责任。</w:t>
      </w:r>
    </w:p>
    <w:bookmarkEnd w:id="407"/>
    <w:bookmarkEnd w:id="408"/>
    <w:bookmarkEnd w:id="409"/>
    <w:bookmarkEnd w:id="410"/>
    <w:bookmarkEnd w:id="411"/>
    <w:bookmarkEnd w:id="412"/>
    <w:bookmarkEnd w:id="413"/>
    <w:bookmarkEnd w:id="414"/>
    <w:bookmarkEnd w:id="415"/>
    <w:bookmarkEnd w:id="416"/>
    <w:bookmarkEnd w:id="417"/>
    <w:bookmarkEnd w:id="418"/>
    <w:p w14:paraId="3769713B">
      <w:pPr>
        <w:pStyle w:val="3"/>
        <w:widowControl/>
        <w:rPr>
          <w:rFonts w:eastAsia="仿宋"/>
          <w:color w:val="auto"/>
          <w:sz w:val="24"/>
          <w:szCs w:val="24"/>
        </w:rPr>
      </w:pPr>
      <w:bookmarkStart w:id="451" w:name="_Toc342294757"/>
      <w:bookmarkStart w:id="452" w:name="_Toc152045572"/>
      <w:bookmarkStart w:id="453" w:name="_Toc338944648"/>
      <w:bookmarkStart w:id="454" w:name="_Toc333600726"/>
      <w:bookmarkStart w:id="455" w:name="_Toc338943743"/>
      <w:bookmarkStart w:id="456" w:name="_Toc333599702"/>
      <w:bookmarkStart w:id="457" w:name="_Toc333587896"/>
      <w:bookmarkStart w:id="458" w:name="_Toc342296205"/>
      <w:bookmarkStart w:id="459" w:name="_Toc342297662"/>
      <w:bookmarkStart w:id="460" w:name="_Toc179632590"/>
      <w:bookmarkStart w:id="461" w:name="_Toc152042348"/>
      <w:bookmarkStart w:id="462" w:name="_Toc371415961"/>
      <w:bookmarkStart w:id="463" w:name="_Toc445554734"/>
      <w:bookmarkStart w:id="464" w:name="_Toc144974540"/>
      <w:r>
        <w:rPr>
          <w:rFonts w:eastAsia="仿宋"/>
          <w:color w:val="auto"/>
          <w:sz w:val="24"/>
          <w:szCs w:val="24"/>
        </w:rPr>
        <w:t>8.</w:t>
      </w:r>
      <w:r>
        <w:rPr>
          <w:rFonts w:ascii="楷体_GB2312" w:hAnsi="楷体_GB2312" w:eastAsia="仿宋" w:cs="仿宋"/>
          <w:color w:val="auto"/>
          <w:sz w:val="24"/>
          <w:szCs w:val="24"/>
        </w:rPr>
        <w:t>终止采购</w:t>
      </w:r>
    </w:p>
    <w:p w14:paraId="6329A505">
      <w:pPr>
        <w:widowControl/>
        <w:adjustRightInd w:val="0"/>
        <w:snapToGrid w:val="0"/>
        <w:spacing w:line="360" w:lineRule="auto"/>
        <w:ind w:firstLine="480" w:firstLineChars="200"/>
        <w:rPr>
          <w:rFonts w:eastAsia="仿宋"/>
          <w:color w:val="auto"/>
          <w:sz w:val="24"/>
        </w:rPr>
      </w:pPr>
      <w:r>
        <w:rPr>
          <w:rFonts w:hint="eastAsia" w:eastAsia="仿宋" w:cs="仿宋"/>
          <w:color w:val="auto"/>
          <w:sz w:val="24"/>
          <w:lang w:bidi="ar"/>
        </w:rPr>
        <w:t>在采购活动中因重大变故，采购任务取消的，采购人应当终止采购活动，通知所有参加采购活动的供应商。已经发售竞争性磋商文件或者已经收取竞争性磋商保证金的，采购人将及时退还所收取的竞争性磋商文件的费用，以及所收取的竞争性磋商保证金。</w:t>
      </w:r>
    </w:p>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14:paraId="4FACA0AF">
      <w:pPr>
        <w:pStyle w:val="3"/>
        <w:widowControl/>
        <w:rPr>
          <w:rFonts w:hint="default" w:ascii="Calibri" w:hAnsi="Calibri" w:eastAsia="仿宋"/>
          <w:color w:val="auto"/>
          <w:sz w:val="24"/>
          <w:szCs w:val="24"/>
        </w:rPr>
      </w:pPr>
      <w:bookmarkStart w:id="465" w:name="_Toc333599710"/>
      <w:bookmarkStart w:id="466" w:name="_Toc152042357"/>
      <w:bookmarkStart w:id="467" w:name="_Toc333600734"/>
      <w:bookmarkStart w:id="468" w:name="_Toc466024552"/>
      <w:bookmarkStart w:id="469" w:name="_Toc371415963"/>
      <w:bookmarkStart w:id="470" w:name="_Toc342296213"/>
      <w:bookmarkStart w:id="471" w:name="_Toc338943751"/>
      <w:bookmarkStart w:id="472" w:name="_Toc445554743"/>
      <w:bookmarkStart w:id="473" w:name="_Toc458504870"/>
      <w:bookmarkStart w:id="474" w:name="_Toc338944656"/>
      <w:bookmarkStart w:id="475" w:name="_Toc342294765"/>
      <w:bookmarkStart w:id="476" w:name="_Toc455587269"/>
      <w:bookmarkStart w:id="477" w:name="_Toc342297670"/>
      <w:bookmarkStart w:id="478" w:name="_Toc455587085"/>
      <w:bookmarkStart w:id="479" w:name="_Toc144974547"/>
      <w:bookmarkStart w:id="480" w:name="_Toc179632598"/>
      <w:bookmarkStart w:id="481" w:name="_Toc152045580"/>
      <w:r>
        <w:rPr>
          <w:rFonts w:ascii="Calibri" w:hAnsi="Calibri" w:eastAsia="仿宋"/>
          <w:color w:val="auto"/>
          <w:sz w:val="24"/>
          <w:szCs w:val="24"/>
        </w:rPr>
        <w:t>9.</w:t>
      </w:r>
      <w:r>
        <w:rPr>
          <w:rFonts w:hint="default" w:ascii="Calibri" w:hAnsi="Calibri" w:eastAsia="仿宋"/>
          <w:color w:val="auto"/>
          <w:sz w:val="24"/>
          <w:szCs w:val="24"/>
        </w:rPr>
        <w:t xml:space="preserve"> </w:t>
      </w:r>
      <w:r>
        <w:rPr>
          <w:rFonts w:ascii="Calibri" w:hAnsi="Calibri" w:eastAsia="仿宋" w:cs="仿宋"/>
          <w:color w:val="auto"/>
          <w:sz w:val="24"/>
          <w:szCs w:val="24"/>
        </w:rPr>
        <w:t>需要补充的其他内容</w:t>
      </w:r>
    </w:p>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14:paraId="2C9D3AAF">
      <w:pPr>
        <w:widowControl/>
        <w:adjustRightInd w:val="0"/>
        <w:snapToGrid w:val="0"/>
        <w:spacing w:line="360" w:lineRule="auto"/>
        <w:ind w:firstLine="480" w:firstLineChars="200"/>
        <w:rPr>
          <w:rFonts w:eastAsia="仿宋"/>
          <w:color w:val="auto"/>
          <w:sz w:val="24"/>
        </w:rPr>
      </w:pPr>
      <w:bookmarkStart w:id="482" w:name="_Toc458504872"/>
      <w:bookmarkStart w:id="483" w:name="_Toc455587087"/>
      <w:bookmarkStart w:id="484" w:name="_Toc455587271"/>
      <w:bookmarkStart w:id="485" w:name="_Toc466024554"/>
      <w:bookmarkStart w:id="486" w:name="_Toc445554745"/>
      <w:r>
        <w:rPr>
          <w:rFonts w:hint="eastAsia" w:ascii="Times New Roman" w:hAnsi="Times New Roman" w:eastAsia="仿宋" w:cs="仿宋"/>
          <w:color w:val="auto"/>
          <w:sz w:val="24"/>
          <w:lang w:bidi="en-US"/>
        </w:rPr>
        <w:t>需要补充的其他内容</w:t>
      </w:r>
      <w:bookmarkEnd w:id="482"/>
      <w:bookmarkEnd w:id="483"/>
      <w:bookmarkEnd w:id="484"/>
      <w:bookmarkEnd w:id="485"/>
      <w:bookmarkEnd w:id="486"/>
      <w:r>
        <w:rPr>
          <w:rFonts w:hint="eastAsia" w:ascii="Times New Roman" w:hAnsi="Times New Roman" w:eastAsia="仿宋" w:cs="仿宋"/>
          <w:color w:val="auto"/>
          <w:sz w:val="24"/>
          <w:lang w:bidi="en-US"/>
        </w:rPr>
        <w:t>：见供应商须知前附表。</w:t>
      </w:r>
    </w:p>
    <w:p w14:paraId="26E10EA3">
      <w:pPr>
        <w:pStyle w:val="2"/>
        <w:keepNext w:val="0"/>
        <w:widowControl/>
        <w:numPr>
          <w:ilvl w:val="0"/>
          <w:numId w:val="1"/>
        </w:numPr>
        <w:snapToGrid w:val="0"/>
        <w:spacing w:before="0" w:after="0" w:line="360" w:lineRule="auto"/>
        <w:jc w:val="center"/>
        <w:rPr>
          <w:rFonts w:ascii="Calibri" w:hAnsi="Calibri" w:eastAsia="仿宋" w:cs="仿宋"/>
          <w:color w:val="auto"/>
        </w:rPr>
      </w:pPr>
      <w:bookmarkStart w:id="487" w:name="_Toc466024555"/>
      <w:bookmarkStart w:id="488" w:name="_Toc445554746"/>
      <w:bookmarkStart w:id="489" w:name="_Toc26798"/>
      <w:bookmarkStart w:id="490" w:name="_Toc342296242"/>
      <w:bookmarkStart w:id="491" w:name="_Toc152045598"/>
      <w:bookmarkStart w:id="492" w:name="_Toc144974565"/>
      <w:bookmarkStart w:id="493" w:name="_Toc241459648"/>
      <w:bookmarkStart w:id="494" w:name="_Toc342297699"/>
      <w:bookmarkStart w:id="495" w:name="_Toc342297701"/>
      <w:bookmarkStart w:id="496" w:name="_Toc179632616"/>
      <w:bookmarkStart w:id="497" w:name="_Toc152042375"/>
      <w:bookmarkStart w:id="498" w:name="_Toc342296244"/>
      <w:r>
        <w:rPr>
          <w:rFonts w:hint="eastAsia" w:ascii="Calibri" w:hAnsi="Calibri" w:eastAsia="仿宋" w:cs="仿宋"/>
          <w:color w:val="auto"/>
        </w:rPr>
        <w:br w:type="page"/>
      </w:r>
      <w:r>
        <w:rPr>
          <w:rFonts w:ascii="Calibri" w:hAnsi="Calibri" w:eastAsia="仿宋"/>
          <w:color w:val="auto"/>
        </w:rPr>
        <w:t xml:space="preserve"> </w:t>
      </w:r>
      <w:r>
        <w:rPr>
          <w:rFonts w:hint="eastAsia" w:ascii="Calibri" w:hAnsi="Calibri" w:eastAsia="仿宋" w:cs="仿宋"/>
          <w:color w:val="auto"/>
        </w:rPr>
        <w:t>采购需求</w:t>
      </w:r>
      <w:bookmarkEnd w:id="487"/>
      <w:bookmarkEnd w:id="488"/>
      <w:bookmarkEnd w:id="489"/>
    </w:p>
    <w:p w14:paraId="22FB4C7F">
      <w:pPr>
        <w:spacing w:line="440" w:lineRule="exact"/>
        <w:rPr>
          <w:rFonts w:hint="eastAsia" w:ascii="仿宋" w:hAnsi="仿宋" w:eastAsia="仿宋" w:cs="仿宋"/>
          <w:b/>
          <w:bCs/>
          <w:color w:val="auto"/>
          <w:sz w:val="24"/>
          <w:szCs w:val="32"/>
        </w:rPr>
      </w:pPr>
      <w:r>
        <w:rPr>
          <w:rFonts w:hint="eastAsia" w:ascii="仿宋" w:hAnsi="仿宋" w:eastAsia="仿宋" w:cs="仿宋"/>
          <w:b/>
          <w:bCs/>
          <w:color w:val="auto"/>
          <w:sz w:val="24"/>
          <w:szCs w:val="32"/>
        </w:rPr>
        <w:t>一、项目概况</w:t>
      </w:r>
    </w:p>
    <w:p w14:paraId="1DB27057">
      <w:pPr>
        <w:widowControl/>
        <w:adjustRightInd w:val="0"/>
        <w:snapToGrid w:val="0"/>
        <w:spacing w:line="288" w:lineRule="auto"/>
        <w:ind w:firstLine="480" w:firstLineChars="200"/>
        <w:rPr>
          <w:rFonts w:eastAsia="仿宋" w:cs="仿宋"/>
          <w:color w:val="auto"/>
          <w:sz w:val="24"/>
          <w:lang w:bidi="ar"/>
        </w:rPr>
      </w:pPr>
      <w:r>
        <w:rPr>
          <w:rFonts w:eastAsia="仿宋" w:cs="仿宋"/>
          <w:color w:val="auto"/>
          <w:sz w:val="24"/>
          <w:lang w:bidi="ar"/>
        </w:rPr>
        <w:t>为顺利完成</w:t>
      </w:r>
      <w:r>
        <w:rPr>
          <w:rFonts w:hint="eastAsia" w:eastAsia="仿宋" w:cs="仿宋"/>
          <w:color w:val="auto"/>
          <w:sz w:val="24"/>
          <w:lang w:bidi="ar"/>
        </w:rPr>
        <w:t>合肥综合性科学中心环境研究院分析测试中心</w:t>
      </w:r>
      <w:r>
        <w:rPr>
          <w:rFonts w:eastAsia="仿宋" w:cs="仿宋"/>
          <w:color w:val="auto"/>
          <w:sz w:val="24"/>
          <w:lang w:bidi="ar"/>
        </w:rPr>
        <w:t>实验室CNAS（中国合格评定国家认可委员会）认可资质认定申报工作，规范实验室质量管理体系、提升检测技术能力、满足CNAS-CL01:2018《检测和校准实验室能力认可准则》及相关应用说明要求，现对本次</w:t>
      </w:r>
      <w:r>
        <w:rPr>
          <w:rFonts w:hint="eastAsia" w:eastAsia="仿宋" w:cs="仿宋"/>
          <w:color w:val="auto"/>
          <w:sz w:val="24"/>
          <w:lang w:bidi="ar"/>
        </w:rPr>
        <w:t>CNAS实验室认可咨询服务项目采购</w:t>
      </w:r>
      <w:r>
        <w:rPr>
          <w:rFonts w:eastAsia="仿宋" w:cs="仿宋"/>
          <w:color w:val="auto"/>
          <w:sz w:val="24"/>
          <w:lang w:bidi="ar"/>
        </w:rPr>
        <w:t>进行竞争性磋商采购，拟选取1家专业服务机构，为研究院分析测试中心提供全方位、专业性的技术服务。欢迎符合资质、具备相关服务经验的第三方专业机构报名参加。</w:t>
      </w:r>
    </w:p>
    <w:p w14:paraId="618C8907">
      <w:pPr>
        <w:spacing w:line="440" w:lineRule="exact"/>
        <w:rPr>
          <w:rFonts w:hint="eastAsia" w:ascii="仿宋" w:hAnsi="仿宋" w:eastAsia="仿宋" w:cs="仿宋"/>
          <w:b/>
          <w:bCs/>
          <w:color w:val="auto"/>
          <w:sz w:val="24"/>
          <w:szCs w:val="32"/>
        </w:rPr>
      </w:pPr>
      <w:r>
        <w:rPr>
          <w:rFonts w:hint="eastAsia" w:ascii="仿宋" w:hAnsi="仿宋" w:eastAsia="仿宋" w:cs="仿宋"/>
          <w:b/>
          <w:bCs/>
          <w:color w:val="auto"/>
          <w:sz w:val="24"/>
          <w:szCs w:val="32"/>
        </w:rPr>
        <w:t>二、服务需求及标准</w:t>
      </w:r>
    </w:p>
    <w:p w14:paraId="45D15D1E">
      <w:pPr>
        <w:widowControl/>
        <w:adjustRightInd w:val="0"/>
        <w:snapToGrid w:val="0"/>
        <w:spacing w:line="288" w:lineRule="auto"/>
        <w:ind w:firstLine="480" w:firstLineChars="200"/>
        <w:rPr>
          <w:rFonts w:eastAsia="仿宋" w:cs="仿宋"/>
          <w:color w:val="auto"/>
          <w:sz w:val="24"/>
          <w:lang w:bidi="ar"/>
        </w:rPr>
      </w:pPr>
      <w:bookmarkStart w:id="499" w:name="_Toc445554765"/>
      <w:bookmarkStart w:id="500" w:name="_Toc466024564"/>
      <w:r>
        <w:rPr>
          <w:rFonts w:hint="eastAsia" w:eastAsia="仿宋" w:cs="仿宋"/>
          <w:color w:val="auto"/>
          <w:sz w:val="24"/>
          <w:lang w:bidi="ar"/>
        </w:rPr>
        <w:t>供应商需严格依据CNAS-CL01:2018《检测和校准实验室能力认可准则》及对应领域应用说明、CNAS最新申报评审政策，提供全流程闭环咨询服务，具体技术及服务内容如下：</w:t>
      </w:r>
    </w:p>
    <w:p w14:paraId="0BEE19A6">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（一）前期调研与整体方案规划</w:t>
      </w:r>
    </w:p>
    <w:p w14:paraId="485AAF4D">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对我中心现有实验室场地、仪器设备、人员配置、检测项目、管理制度、原始记录、数据管控等现状进行全面摸底排查，梳理现存不符合项、短板问题。</w:t>
      </w:r>
    </w:p>
    <w:p w14:paraId="5A03E713">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结合中心申报的检测项目，定制专属CNAS申报整体实施方案，明确工作节点、整改清单、人员分工、进度计划，确保申报工作有序推进。</w:t>
      </w:r>
    </w:p>
    <w:p w14:paraId="62C4B664">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解读最新CNAS评审政策、申报流程、资料规范，同步对接CNAS官方申报系统，明确申报重难点。</w:t>
      </w:r>
    </w:p>
    <w:p w14:paraId="2F960926">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（二）质量管理体系搭建与文件编制</w:t>
      </w:r>
    </w:p>
    <w:p w14:paraId="29E9C315">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在兼容中心现有 CMA 体系、不产生体系冲突的前提下，协助搭建一套同时满足 CMA 资质规范与 CNAS 认可准则要求的一体化完整质量管理体系，覆盖组织管理、人员管理、设备管理、环境管理、样品管理、方法确认、质量控制、记录报告、内审管理、管理评审全业务模块。</w:t>
      </w:r>
    </w:p>
    <w:p w14:paraId="07EDD306">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指导、协助编制、修订全套体系文件，包括质量手册、程序文件、作业指导书（SOP）、原始记录模板、质量记录模版，报告模板、设备台账、核查记录等，确保文件合规、贴合中心实际业务，无条款缺失、无体系冲突。</w:t>
      </w:r>
    </w:p>
    <w:p w14:paraId="49C55137">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指导体系文件落地试运行，协助完成体系试运行全过程资料留存、数据追溯，满足评审试运行周期要求。</w:t>
      </w:r>
    </w:p>
    <w:p w14:paraId="31C98220">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（三）专项技术整改与能力提升指导</w:t>
      </w:r>
    </w:p>
    <w:p w14:paraId="1A91C29F">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场地与环境整改：针对实验室分区、温湿度控制、洁净度、安全防护、标识标牌、样品存放、废液废料处理等不符合CNAS要求的环节，提供专项整改方案，现场指导落地整改。</w:t>
      </w:r>
    </w:p>
    <w:p w14:paraId="64E3FBB1">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仪器设备管控：指导完成仪器设备台账梳理、校准/检定计划制定、期间核查、设备状态标识、设备档案建立，协助完成仪器方法确认、不确定度评定、能力验证/比对方案实施，确保全部设备满足评审要求。</w:t>
      </w:r>
    </w:p>
    <w:p w14:paraId="193B9C68">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技术能力优化：指导检测方法验证、方法确认、标准更新适配，规范实验操作流程、原始数据记录、结果计算、报告出具，解决技术层面不符合评审要求的各类问题。</w:t>
      </w:r>
    </w:p>
    <w:p w14:paraId="1EEBF2DD">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4. 质量活动指导：全程指导实验室内部审核、管理评审、质量监督、不符合项整改、纠正预防措施等质量活动开展，规范活动流程及资料归档。</w:t>
      </w:r>
    </w:p>
    <w:p w14:paraId="5CD0BAC9">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（四）全员专项培训服务</w:t>
      </w:r>
    </w:p>
    <w:p w14:paraId="4E9A9B31">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针对中心管理人员、检测人员、设备管理员、资料员等不同岗位，开展分层专项培训，培训内容包含：CNAS认可准则解读、体系文件实操、岗位合规操作、数据真实性管控、评审常见问题、现场应答规范、内审与管理评审实操等，培训后提供课件、培训记录、考核资料，确保全员熟练掌握CNAS运行及评审要求。</w:t>
      </w:r>
    </w:p>
    <w:p w14:paraId="1C408F67">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（五）模拟评审与预验收整改</w:t>
      </w:r>
    </w:p>
    <w:p w14:paraId="73CA2BC5">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正式申报前，组织专业评审老师开展1-2次全流程模拟现场评审，完全对标CNAS官方评审标准，全面排查体系、技术、资料、现场各类问题。</w:t>
      </w:r>
    </w:p>
    <w:p w14:paraId="2DFE1E1A">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针对模拟评审发现的问题，出具详细整改报告，逐条指导闭环整改，验证整改效果，杜绝同类问题在正式评审中出现。</w:t>
      </w:r>
    </w:p>
    <w:p w14:paraId="08D596E7">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协助整理、审核全套申报资料，确保资料完整、规范、合规，符合CNAS受理要求，提高申报通过率。</w:t>
      </w:r>
    </w:p>
    <w:p w14:paraId="050ACC07">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（六）正式申报与现场评审全程配合</w:t>
      </w:r>
    </w:p>
    <w:p w14:paraId="0A41CD30">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协助完成CNAS官网账号注册、信息填报、资料上传、申报提交，跟进受理进度，对接CNAS官方审核人员，解答初审问询。</w:t>
      </w:r>
    </w:p>
    <w:p w14:paraId="19695719">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评审组现场评审期间，全程驻场配合，协助对接评审专家、解答专家疑问、佐证资料调取，及时协调处理现场突发问题。</w:t>
      </w:r>
    </w:p>
    <w:p w14:paraId="793F1772">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针对现场评审开具的不符合项、观察项，快速制定整改方案，逐条指导完成整改、资料补充、整改报告编制提交，全程跟进直至评审闭环、顺利通过认可。</w:t>
      </w:r>
    </w:p>
    <w:p w14:paraId="0473678E">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（七）售后质保与长效服务</w:t>
      </w:r>
    </w:p>
    <w:p w14:paraId="5A585EDE">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1. 取得CNAS证书后，提供不少于1年的免费质保服务，期间免费提供体系运行答疑、政策更新解读、日常运行问题指导。</w:t>
      </w:r>
    </w:p>
    <w:p w14:paraId="0B3C51E7">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2. 指导中心完成证书公示、档案归档、后续监督评审、复评审的前期筹备工作，保障体系长效合规运行。</w:t>
      </w:r>
    </w:p>
    <w:p w14:paraId="30646281">
      <w:pPr>
        <w:widowControl/>
        <w:adjustRightInd w:val="0"/>
        <w:snapToGrid w:val="0"/>
        <w:spacing w:line="288" w:lineRule="auto"/>
        <w:ind w:firstLine="480" w:firstLineChars="200"/>
        <w:rPr>
          <w:rFonts w:eastAsia="仿宋" w:cs="仿宋"/>
          <w:color w:val="auto"/>
          <w:sz w:val="24"/>
          <w:lang w:bidi="ar"/>
        </w:rPr>
      </w:pPr>
      <w:r>
        <w:rPr>
          <w:rFonts w:hint="eastAsia" w:eastAsia="仿宋" w:cs="仿宋"/>
          <w:color w:val="auto"/>
          <w:sz w:val="24"/>
          <w:lang w:bidi="ar"/>
        </w:rPr>
        <w:t>3. 免费提供后续CNAS相关新标准、新政策更新培训及适配指导。</w:t>
      </w:r>
    </w:p>
    <w:p w14:paraId="1623AEA1">
      <w:pPr>
        <w:widowControl/>
        <w:adjustRightInd w:val="0"/>
        <w:snapToGrid w:val="0"/>
        <w:spacing w:line="288" w:lineRule="auto"/>
        <w:rPr>
          <w:rFonts w:eastAsia="仿宋" w:cs="仿宋"/>
          <w:b/>
          <w:bCs/>
          <w:color w:val="auto"/>
          <w:sz w:val="24"/>
          <w:lang w:bidi="ar"/>
        </w:rPr>
      </w:pPr>
      <w:r>
        <w:rPr>
          <w:rFonts w:hint="eastAsia" w:eastAsia="仿宋" w:cs="仿宋"/>
          <w:b/>
          <w:bCs/>
          <w:color w:val="auto"/>
          <w:sz w:val="24"/>
          <w:lang w:bidi="ar"/>
        </w:rPr>
        <w:t>三、服务团队配置要求</w:t>
      </w:r>
    </w:p>
    <w:p w14:paraId="1A4BC0A1">
      <w:pPr>
        <w:widowControl/>
        <w:adjustRightInd w:val="0"/>
        <w:snapToGrid w:val="0"/>
        <w:spacing w:line="288" w:lineRule="auto"/>
        <w:ind w:firstLine="480" w:firstLineChars="200"/>
        <w:rPr>
          <w:rFonts w:eastAsia="仿宋" w:cs="仿宋"/>
          <w:color w:val="auto"/>
          <w:sz w:val="24"/>
          <w:lang w:bidi="ar"/>
        </w:rPr>
      </w:pPr>
      <w:r>
        <w:rPr>
          <w:rFonts w:eastAsia="仿宋" w:cs="仿宋"/>
          <w:color w:val="auto"/>
          <w:sz w:val="24"/>
          <w:lang w:bidi="ar"/>
        </w:rPr>
        <w:t>人员资质：配备专属项目团队，项目负责人需具备3年以上CNAS咨询从业经验，熟悉CNAS最新评审规则，团队人员具备丰富的实验室体系搭建、现场整改、评审对接经验</w:t>
      </w:r>
      <w:r>
        <w:rPr>
          <w:rFonts w:hint="eastAsia" w:eastAsia="仿宋" w:cs="仿宋"/>
          <w:color w:val="auto"/>
          <w:sz w:val="24"/>
          <w:lang w:bidi="ar"/>
        </w:rPr>
        <w:t>。</w:t>
      </w:r>
    </w:p>
    <w:p w14:paraId="6729B12F">
      <w:pPr>
        <w:widowControl/>
        <w:adjustRightInd w:val="0"/>
        <w:snapToGrid w:val="0"/>
        <w:spacing w:line="288" w:lineRule="auto"/>
        <w:rPr>
          <w:rFonts w:eastAsia="仿宋" w:cs="仿宋"/>
          <w:b/>
          <w:bCs/>
          <w:color w:val="auto"/>
          <w:sz w:val="24"/>
          <w:lang w:bidi="ar"/>
        </w:rPr>
      </w:pPr>
      <w:r>
        <w:rPr>
          <w:rFonts w:hint="eastAsia" w:eastAsia="仿宋" w:cs="仿宋"/>
          <w:b/>
          <w:bCs/>
          <w:color w:val="auto"/>
          <w:sz w:val="24"/>
          <w:lang w:bidi="ar"/>
        </w:rPr>
        <w:t>四、服务要求</w:t>
      </w:r>
    </w:p>
    <w:p w14:paraId="5C9DEA3F">
      <w:pPr>
        <w:spacing w:line="440" w:lineRule="exact"/>
        <w:ind w:firstLine="480" w:firstLineChars="200"/>
        <w:rPr>
          <w:rFonts w:eastAsia="仿宋" w:cs="仿宋"/>
          <w:color w:val="auto"/>
          <w:sz w:val="24"/>
          <w:lang w:bidi="ar"/>
        </w:rPr>
      </w:pPr>
      <w:r>
        <w:rPr>
          <w:rFonts w:eastAsia="仿宋" w:cs="仿宋"/>
          <w:color w:val="auto"/>
          <w:sz w:val="24"/>
          <w:lang w:bidi="ar"/>
        </w:rPr>
        <w:t>服务商须严格依据 CNAS-CL01:2018、各领域应用说明、CNAS最新申报与评审规则开展咨询工作，所有体系文件、技术资料、现场整改必须满足官方文审、现场评审要求，保证资料真实、可追溯、可核查、符合试运行周期要求。服务方式包含线上远程指导+定期现场驻场辅导+评审关键阶段全程驻场配合。</w:t>
      </w:r>
    </w:p>
    <w:p w14:paraId="4B5258BE">
      <w:pPr>
        <w:spacing w:line="440" w:lineRule="exact"/>
        <w:rPr>
          <w:rFonts w:eastAsia="仿宋" w:cs="仿宋"/>
          <w:b/>
          <w:bCs/>
          <w:color w:val="auto"/>
          <w:sz w:val="24"/>
          <w:lang w:bidi="ar"/>
        </w:rPr>
      </w:pPr>
      <w:r>
        <w:rPr>
          <w:rFonts w:hint="eastAsia" w:eastAsia="仿宋" w:cs="仿宋"/>
          <w:b/>
          <w:bCs/>
          <w:color w:val="auto"/>
          <w:sz w:val="24"/>
          <w:lang w:bidi="ar"/>
        </w:rPr>
        <w:t>五、服务能力</w:t>
      </w:r>
    </w:p>
    <w:p w14:paraId="1F3C7D12">
      <w:pPr>
        <w:spacing w:line="440" w:lineRule="exact"/>
        <w:ind w:firstLine="480" w:firstLineChars="200"/>
        <w:rPr>
          <w:rFonts w:eastAsia="仿宋" w:cs="仿宋"/>
          <w:color w:val="auto"/>
          <w:sz w:val="24"/>
          <w:lang w:bidi="ar"/>
        </w:rPr>
      </w:pPr>
      <w:r>
        <w:rPr>
          <w:rFonts w:hint="eastAsia" w:eastAsia="仿宋" w:cs="仿宋"/>
          <w:color w:val="auto"/>
          <w:sz w:val="24"/>
          <w:lang w:bidi="ar"/>
        </w:rPr>
        <w:t>1. 主体资质：为中华人民共和国境内依法注册的独立法人企业，具备有效的营业执照，经营范围包含实验室认可咨询、质量管理体系咨询等相关内容，具备独立承担民事责任的能力。</w:t>
      </w:r>
    </w:p>
    <w:p w14:paraId="18E1BD23">
      <w:pPr>
        <w:spacing w:line="440" w:lineRule="exact"/>
        <w:ind w:firstLine="480" w:firstLineChars="200"/>
        <w:rPr>
          <w:rFonts w:eastAsia="仿宋" w:cs="仿宋"/>
          <w:color w:val="auto"/>
          <w:sz w:val="24"/>
          <w:lang w:bidi="ar"/>
        </w:rPr>
      </w:pPr>
      <w:r>
        <w:rPr>
          <w:rFonts w:hint="eastAsia" w:eastAsia="仿宋" w:cs="仿宋"/>
          <w:color w:val="auto"/>
          <w:sz w:val="24"/>
          <w:lang w:bidi="ar"/>
        </w:rPr>
        <w:t>2. 信誉要求：未被列入失信被执行人、重大税收违法失信主体、政府采购严重违法失信行为记录名单，经营状况良好，无重大违法违规经营记录。</w:t>
      </w:r>
    </w:p>
    <w:p w14:paraId="43F6FAFB">
      <w:pPr>
        <w:spacing w:line="440" w:lineRule="exact"/>
        <w:ind w:firstLine="480" w:firstLineChars="200"/>
        <w:rPr>
          <w:rFonts w:eastAsia="仿宋" w:cs="仿宋"/>
          <w:color w:val="auto"/>
          <w:sz w:val="24"/>
          <w:lang w:bidi="ar"/>
        </w:rPr>
      </w:pPr>
      <w:r>
        <w:rPr>
          <w:rFonts w:hint="eastAsia" w:eastAsia="仿宋" w:cs="仿宋"/>
          <w:color w:val="auto"/>
          <w:sz w:val="24"/>
          <w:lang w:bidi="ar"/>
        </w:rPr>
        <w:t>3. 服务能力：具备线下驻场指导、现场整改、模拟评审、应急答疑的服务能力，可根据我中心进度随时配合开展工作。</w:t>
      </w:r>
    </w:p>
    <w:p w14:paraId="750746FF">
      <w:pPr>
        <w:spacing w:line="440" w:lineRule="exact"/>
        <w:rPr>
          <w:rFonts w:eastAsia="仿宋" w:cs="仿宋"/>
          <w:color w:val="auto"/>
          <w:sz w:val="24"/>
          <w:lang w:bidi="ar"/>
        </w:rPr>
      </w:pPr>
      <w:r>
        <w:rPr>
          <w:rFonts w:hint="eastAsia" w:eastAsia="仿宋" w:cs="仿宋"/>
          <w:b/>
          <w:bCs/>
          <w:color w:val="auto"/>
          <w:sz w:val="24"/>
          <w:lang w:bidi="ar"/>
        </w:rPr>
        <w:t>六、服务费用及支付方式</w:t>
      </w:r>
    </w:p>
    <w:p w14:paraId="6AD0CB1A">
      <w:pPr>
        <w:spacing w:line="440" w:lineRule="exact"/>
        <w:ind w:firstLine="480" w:firstLineChars="200"/>
        <w:rPr>
          <w:rFonts w:eastAsia="仿宋" w:cs="仿宋"/>
          <w:color w:val="auto"/>
          <w:sz w:val="24"/>
          <w:lang w:bidi="ar"/>
        </w:rPr>
      </w:pPr>
      <w:r>
        <w:rPr>
          <w:rFonts w:hint="eastAsia" w:eastAsia="仿宋" w:cs="仿宋"/>
          <w:color w:val="auto"/>
          <w:sz w:val="24"/>
          <w:lang w:bidi="ar"/>
        </w:rPr>
        <w:t>1. 报价形式：本次报价为固定总价包干报价，报价包含本次项目所有费用，涵盖调研费、方案编制费、文件编制费、培训费、现场驻场费、模拟评审费、整改指导费、对接服务费、售后质保费、税费等全部相关费用，为完成本项目全部服务内容所需的一切费用，采购人不再支付其他任何费用。</w:t>
      </w:r>
    </w:p>
    <w:p w14:paraId="670C86C0">
      <w:pPr>
        <w:spacing w:line="440" w:lineRule="exact"/>
        <w:ind w:firstLine="480" w:firstLineChars="200"/>
        <w:rPr>
          <w:rFonts w:eastAsia="仿宋" w:cs="仿宋"/>
          <w:color w:val="auto"/>
          <w:sz w:val="24"/>
          <w:lang w:bidi="ar"/>
        </w:rPr>
      </w:pPr>
      <w:r>
        <w:rPr>
          <w:rFonts w:hint="eastAsia" w:eastAsia="仿宋" w:cs="仿宋"/>
          <w:color w:val="auto"/>
          <w:sz w:val="24"/>
          <w:lang w:bidi="ar"/>
        </w:rPr>
        <w:t>2. 报价明细：报价文件需明确列出费用构成明细，标注各服务模块对应报价及服务内容，报价合理合规，不得恶意低价、虚高报价。</w:t>
      </w:r>
    </w:p>
    <w:p w14:paraId="1752395E">
      <w:pPr>
        <w:spacing w:line="440" w:lineRule="exact"/>
        <w:ind w:firstLine="480" w:firstLineChars="200"/>
        <w:rPr>
          <w:rFonts w:eastAsia="仿宋" w:cs="仿宋"/>
          <w:color w:val="auto"/>
          <w:sz w:val="24"/>
          <w:lang w:bidi="ar"/>
        </w:rPr>
      </w:pPr>
      <w:r>
        <w:rPr>
          <w:rFonts w:hint="eastAsia" w:eastAsia="仿宋" w:cs="仿宋"/>
          <w:color w:val="auto"/>
          <w:sz w:val="24"/>
          <w:lang w:bidi="ar"/>
        </w:rPr>
        <w:t>3. 付款方式：按双方最终合同约定执行，可支持阶段性付款（合同签订后支付签约合同价的50%，采购人通过CNAS认定评审，并取得相应资质后，经采购人验收合格后支付签约合同价的50%。）。</w:t>
      </w:r>
    </w:p>
    <w:p w14:paraId="486F7CE7">
      <w:pPr>
        <w:spacing w:line="440" w:lineRule="exact"/>
        <w:rPr>
          <w:rFonts w:eastAsia="仿宋" w:cs="仿宋"/>
          <w:b/>
          <w:bCs/>
          <w:color w:val="auto"/>
          <w:sz w:val="24"/>
          <w:lang w:bidi="ar"/>
        </w:rPr>
      </w:pPr>
      <w:r>
        <w:rPr>
          <w:rFonts w:hint="eastAsia" w:eastAsia="仿宋" w:cs="仿宋"/>
          <w:b/>
          <w:bCs/>
          <w:color w:val="auto"/>
          <w:sz w:val="24"/>
          <w:lang w:bidi="ar"/>
        </w:rPr>
        <w:t>七、其他要求</w:t>
      </w:r>
    </w:p>
    <w:p w14:paraId="2ADF7594">
      <w:pPr>
        <w:spacing w:line="440" w:lineRule="exact"/>
        <w:ind w:firstLine="480" w:firstLineChars="200"/>
        <w:rPr>
          <w:rFonts w:hint="eastAsia" w:ascii="仿宋" w:hAnsi="仿宋" w:eastAsia="仿宋" w:cs="仿宋"/>
          <w:color w:val="auto"/>
          <w:sz w:val="24"/>
          <w:szCs w:val="32"/>
        </w:rPr>
      </w:pPr>
      <w:r>
        <w:rPr>
          <w:rFonts w:eastAsia="仿宋" w:cs="仿宋"/>
          <w:color w:val="auto"/>
          <w:sz w:val="24"/>
          <w:lang w:bidi="ar"/>
        </w:rPr>
        <w:t>取证后提供不少于1年免费质保服务，包含体系日常运行答疑、新标准政策更新解读、监督评审/复评审前期指导、体系微调优化指导</w:t>
      </w:r>
      <w:r>
        <w:rPr>
          <w:rFonts w:hint="eastAsia" w:eastAsia="仿宋" w:cs="仿宋"/>
          <w:color w:val="auto"/>
          <w:sz w:val="24"/>
          <w:lang w:bidi="ar"/>
        </w:rPr>
        <w:t>。</w:t>
      </w:r>
    </w:p>
    <w:p w14:paraId="59AE8036">
      <w:pPr>
        <w:rPr>
          <w:color w:val="auto"/>
        </w:rPr>
      </w:pPr>
    </w:p>
    <w:p w14:paraId="16798278">
      <w:pPr>
        <w:spacing w:line="440" w:lineRule="exact"/>
        <w:jc w:val="center"/>
        <w:rPr>
          <w:rFonts w:eastAsia="仿宋"/>
          <w:b/>
          <w:bCs/>
          <w:color w:val="auto"/>
          <w:kern w:val="44"/>
          <w:sz w:val="44"/>
          <w:szCs w:val="44"/>
          <w:lang w:bidi="ar"/>
        </w:rPr>
      </w:pPr>
      <w:r>
        <w:rPr>
          <w:rFonts w:eastAsia="仿宋"/>
          <w:b/>
          <w:bCs/>
          <w:color w:val="auto"/>
          <w:kern w:val="44"/>
          <w:sz w:val="44"/>
          <w:szCs w:val="44"/>
          <w:lang w:bidi="ar"/>
        </w:rPr>
        <w:br w:type="page"/>
      </w:r>
      <w:bookmarkStart w:id="501" w:name="_Toc19345"/>
    </w:p>
    <w:p w14:paraId="4E8EE9D1">
      <w:pPr>
        <w:pStyle w:val="2"/>
        <w:keepNext w:val="0"/>
        <w:widowControl/>
        <w:spacing w:before="0" w:after="0" w:line="240" w:lineRule="auto"/>
        <w:jc w:val="center"/>
        <w:rPr>
          <w:rFonts w:ascii="Calibri" w:hAnsi="Calibri" w:eastAsia="仿宋" w:cs="仿宋"/>
          <w:color w:val="auto"/>
        </w:rPr>
      </w:pPr>
      <w:r>
        <w:rPr>
          <w:rFonts w:hint="eastAsia" w:ascii="Calibri" w:hAnsi="Calibri" w:eastAsia="仿宋" w:cs="仿宋"/>
          <w:color w:val="auto"/>
        </w:rPr>
        <w:t>第四章</w:t>
      </w:r>
      <w:r>
        <w:rPr>
          <w:rFonts w:ascii="Calibri" w:hAnsi="Calibri" w:eastAsia="仿宋" w:cs="仿宋"/>
          <w:color w:val="auto"/>
        </w:rPr>
        <w:t xml:space="preserve">  </w:t>
      </w:r>
      <w:r>
        <w:rPr>
          <w:rFonts w:hint="eastAsia" w:ascii="Calibri" w:hAnsi="Calibri" w:eastAsia="仿宋" w:cs="仿宋"/>
          <w:color w:val="auto"/>
        </w:rPr>
        <w:t>竞争性磋商和评审办法</w:t>
      </w:r>
      <w:bookmarkEnd w:id="501"/>
    </w:p>
    <w:bookmarkEnd w:id="490"/>
    <w:bookmarkEnd w:id="491"/>
    <w:bookmarkEnd w:id="492"/>
    <w:bookmarkEnd w:id="493"/>
    <w:bookmarkEnd w:id="494"/>
    <w:bookmarkEnd w:id="495"/>
    <w:bookmarkEnd w:id="496"/>
    <w:bookmarkEnd w:id="497"/>
    <w:bookmarkEnd w:id="498"/>
    <w:bookmarkEnd w:id="499"/>
    <w:bookmarkEnd w:id="500"/>
    <w:p w14:paraId="5BACE7EB">
      <w:pPr>
        <w:spacing w:line="360" w:lineRule="auto"/>
        <w:jc w:val="center"/>
        <w:rPr>
          <w:rFonts w:eastAsia="仿宋"/>
          <w:b/>
          <w:color w:val="auto"/>
          <w:sz w:val="28"/>
        </w:rPr>
      </w:pPr>
      <w:r>
        <w:rPr>
          <w:rFonts w:hint="eastAsia" w:ascii="Times New Roman" w:hAnsi="Times New Roman" w:eastAsia="仿宋" w:cs="仿宋"/>
          <w:b/>
          <w:color w:val="auto"/>
          <w:sz w:val="28"/>
          <w:lang w:bidi="ar"/>
        </w:rPr>
        <w:t>评审办法前附表</w:t>
      </w:r>
    </w:p>
    <w:p w14:paraId="1349F8EB">
      <w:pPr>
        <w:widowControl/>
        <w:adjustRightInd w:val="0"/>
        <w:snapToGrid w:val="0"/>
        <w:spacing w:before="312" w:beforeLines="100" w:after="156" w:afterLines="50" w:line="360" w:lineRule="auto"/>
        <w:ind w:firstLine="482" w:firstLineChars="200"/>
        <w:rPr>
          <w:rFonts w:eastAsia="仿宋"/>
          <w:b/>
          <w:color w:val="auto"/>
          <w:sz w:val="28"/>
        </w:rPr>
      </w:pPr>
      <w:r>
        <w:rPr>
          <w:rFonts w:hint="eastAsia" w:ascii="宋体" w:hAnsi="宋体" w:eastAsia="仿宋" w:cs="仿宋"/>
          <w:b/>
          <w:bCs/>
          <w:color w:val="auto"/>
          <w:sz w:val="24"/>
          <w:lang w:bidi="ar"/>
        </w:rPr>
        <w:t>本《评审办法前附表》是对本章《竞争性磋商和评审办法》的具体补充和修改，如有不一致，以本《评审办法前附表》为准。</w:t>
      </w:r>
    </w:p>
    <w:p w14:paraId="17DEFAFB">
      <w:pPr>
        <w:pStyle w:val="20"/>
        <w:adjustRightInd w:val="0"/>
        <w:snapToGrid w:val="0"/>
        <w:spacing w:before="0" w:line="360" w:lineRule="auto"/>
        <w:ind w:firstLine="482" w:firstLineChars="200"/>
        <w:rPr>
          <w:rFonts w:ascii="Tahoma" w:hAnsi="Calibri" w:eastAsia="Tahoma"/>
          <w:b/>
          <w:i/>
          <w:color w:val="auto"/>
          <w:sz w:val="24"/>
          <w:szCs w:val="24"/>
        </w:rPr>
      </w:pPr>
      <w:r>
        <w:rPr>
          <w:rFonts w:ascii="Calibri" w:hAnsi="Calibri" w:eastAsia="仿宋"/>
          <w:b/>
          <w:color w:val="auto"/>
          <w:sz w:val="24"/>
          <w:szCs w:val="24"/>
        </w:rPr>
        <w:t xml:space="preserve">1. </w:t>
      </w:r>
      <w:r>
        <w:rPr>
          <w:rFonts w:hint="eastAsia" w:ascii="Calibri" w:hAnsi="Calibri" w:eastAsia="仿宋" w:cs="仿宋"/>
          <w:b/>
          <w:color w:val="auto"/>
          <w:sz w:val="24"/>
          <w:szCs w:val="24"/>
        </w:rPr>
        <w:t>符合性审查标准</w:t>
      </w:r>
    </w:p>
    <w:tbl>
      <w:tblPr>
        <w:tblStyle w:val="14"/>
        <w:tblW w:w="9659"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6"/>
        <w:gridCol w:w="876"/>
        <w:gridCol w:w="1842"/>
        <w:gridCol w:w="4223"/>
        <w:gridCol w:w="1842"/>
      </w:tblGrid>
      <w:tr w14:paraId="1E24C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tcBorders>
              <w:top w:val="single" w:color="000000" w:sz="4" w:space="0"/>
              <w:left w:val="single" w:color="000000" w:sz="4" w:space="0"/>
              <w:bottom w:val="single" w:color="000000" w:sz="4" w:space="0"/>
              <w:right w:val="single" w:color="000000" w:sz="4" w:space="0"/>
            </w:tcBorders>
            <w:vAlign w:val="center"/>
          </w:tcPr>
          <w:p w14:paraId="604F3E15">
            <w:pPr>
              <w:widowControl/>
              <w:jc w:val="center"/>
              <w:rPr>
                <w:b/>
                <w:color w:val="auto"/>
                <w:kern w:val="0"/>
                <w:sz w:val="24"/>
              </w:rPr>
            </w:pPr>
            <w:r>
              <w:rPr>
                <w:rFonts w:hint="eastAsia" w:eastAsia="仿宋" w:cs="仿宋"/>
                <w:b/>
                <w:color w:val="auto"/>
                <w:kern w:val="0"/>
                <w:sz w:val="24"/>
                <w:lang w:bidi="ar"/>
              </w:rPr>
              <w:t>条款号</w:t>
            </w:r>
          </w:p>
        </w:tc>
        <w:tc>
          <w:tcPr>
            <w:tcW w:w="876" w:type="dxa"/>
            <w:tcBorders>
              <w:top w:val="single" w:color="000000" w:sz="4" w:space="0"/>
              <w:left w:val="single" w:color="000000" w:sz="4" w:space="0"/>
              <w:bottom w:val="single" w:color="000000" w:sz="4" w:space="0"/>
              <w:right w:val="single" w:color="000000" w:sz="4" w:space="0"/>
            </w:tcBorders>
            <w:vAlign w:val="center"/>
          </w:tcPr>
          <w:p w14:paraId="5B0D8FBB">
            <w:pPr>
              <w:widowControl/>
              <w:jc w:val="center"/>
              <w:rPr>
                <w:b/>
                <w:color w:val="auto"/>
                <w:kern w:val="0"/>
                <w:sz w:val="24"/>
              </w:rPr>
            </w:pPr>
            <w:r>
              <w:rPr>
                <w:rFonts w:hint="eastAsia" w:eastAsia="仿宋" w:cs="仿宋"/>
                <w:b/>
                <w:color w:val="auto"/>
                <w:kern w:val="0"/>
                <w:sz w:val="24"/>
                <w:lang w:bidi="ar"/>
              </w:rPr>
              <w:t>评审项</w:t>
            </w:r>
          </w:p>
        </w:tc>
        <w:tc>
          <w:tcPr>
            <w:tcW w:w="1842" w:type="dxa"/>
            <w:tcBorders>
              <w:top w:val="single" w:color="000000" w:sz="4" w:space="0"/>
              <w:left w:val="single" w:color="000000" w:sz="4" w:space="0"/>
              <w:bottom w:val="single" w:color="000000" w:sz="4" w:space="0"/>
              <w:right w:val="single" w:color="000000" w:sz="4" w:space="0"/>
            </w:tcBorders>
            <w:vAlign w:val="center"/>
          </w:tcPr>
          <w:p w14:paraId="324FEC8D">
            <w:pPr>
              <w:widowControl/>
              <w:jc w:val="center"/>
              <w:rPr>
                <w:b/>
                <w:color w:val="auto"/>
                <w:kern w:val="0"/>
                <w:sz w:val="24"/>
              </w:rPr>
            </w:pPr>
            <w:r>
              <w:rPr>
                <w:rFonts w:hint="eastAsia" w:eastAsia="仿宋" w:cs="仿宋"/>
                <w:b/>
                <w:color w:val="auto"/>
                <w:kern w:val="0"/>
                <w:sz w:val="24"/>
                <w:lang w:bidi="ar"/>
              </w:rPr>
              <w:t>评审因素</w:t>
            </w:r>
          </w:p>
        </w:tc>
        <w:tc>
          <w:tcPr>
            <w:tcW w:w="4223" w:type="dxa"/>
            <w:tcBorders>
              <w:top w:val="single" w:color="000000" w:sz="4" w:space="0"/>
              <w:left w:val="single" w:color="000000" w:sz="4" w:space="0"/>
              <w:bottom w:val="single" w:color="000000" w:sz="4" w:space="0"/>
              <w:right w:val="single" w:color="000000" w:sz="4" w:space="0"/>
            </w:tcBorders>
            <w:vAlign w:val="center"/>
          </w:tcPr>
          <w:p w14:paraId="3F329B1D">
            <w:pPr>
              <w:widowControl/>
              <w:jc w:val="center"/>
              <w:rPr>
                <w:b/>
                <w:color w:val="auto"/>
                <w:kern w:val="0"/>
                <w:sz w:val="24"/>
              </w:rPr>
            </w:pPr>
            <w:r>
              <w:rPr>
                <w:rFonts w:hint="eastAsia" w:eastAsia="仿宋" w:cs="仿宋"/>
                <w:b/>
                <w:color w:val="auto"/>
                <w:kern w:val="0"/>
                <w:sz w:val="24"/>
                <w:lang w:bidi="ar"/>
              </w:rPr>
              <w:t>评审标准</w:t>
            </w:r>
          </w:p>
        </w:tc>
        <w:tc>
          <w:tcPr>
            <w:tcW w:w="1842" w:type="dxa"/>
            <w:tcBorders>
              <w:top w:val="single" w:color="000000" w:sz="4" w:space="0"/>
              <w:left w:val="single" w:color="000000" w:sz="4" w:space="0"/>
              <w:bottom w:val="single" w:color="000000" w:sz="4" w:space="0"/>
              <w:right w:val="single" w:color="000000" w:sz="4" w:space="0"/>
            </w:tcBorders>
            <w:vAlign w:val="center"/>
          </w:tcPr>
          <w:p w14:paraId="137582BA">
            <w:pPr>
              <w:widowControl/>
              <w:jc w:val="center"/>
              <w:rPr>
                <w:b/>
                <w:color w:val="auto"/>
                <w:kern w:val="0"/>
                <w:sz w:val="24"/>
              </w:rPr>
            </w:pPr>
            <w:r>
              <w:rPr>
                <w:rFonts w:hint="eastAsia" w:eastAsia="仿宋" w:cs="仿宋"/>
                <w:b/>
                <w:color w:val="auto"/>
                <w:kern w:val="0"/>
                <w:sz w:val="24"/>
                <w:lang w:bidi="ar"/>
              </w:rPr>
              <w:t>备注</w:t>
            </w:r>
          </w:p>
        </w:tc>
      </w:tr>
      <w:tr w14:paraId="0C9A9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052E7349">
            <w:pPr>
              <w:widowControl/>
              <w:jc w:val="center"/>
              <w:rPr>
                <w:color w:val="auto"/>
                <w:kern w:val="0"/>
                <w:sz w:val="24"/>
              </w:rPr>
            </w:pPr>
            <w:r>
              <w:rPr>
                <w:rFonts w:eastAsia="仿宋"/>
                <w:color w:val="auto"/>
                <w:kern w:val="0"/>
                <w:sz w:val="24"/>
                <w:lang w:bidi="ar"/>
              </w:rPr>
              <w:t>3.1.1</w:t>
            </w:r>
          </w:p>
        </w:tc>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62096620">
            <w:pPr>
              <w:widowControl/>
              <w:jc w:val="center"/>
              <w:rPr>
                <w:color w:val="auto"/>
                <w:kern w:val="0"/>
                <w:sz w:val="24"/>
              </w:rPr>
            </w:pPr>
            <w:r>
              <w:rPr>
                <w:rFonts w:hint="eastAsia" w:eastAsia="仿宋" w:cs="仿宋"/>
                <w:color w:val="auto"/>
                <w:kern w:val="0"/>
                <w:sz w:val="24"/>
                <w:lang w:bidi="ar"/>
              </w:rPr>
              <w:t>形式评审</w:t>
            </w:r>
          </w:p>
        </w:tc>
        <w:tc>
          <w:tcPr>
            <w:tcW w:w="1842" w:type="dxa"/>
            <w:tcBorders>
              <w:top w:val="single" w:color="000000" w:sz="4" w:space="0"/>
              <w:left w:val="single" w:color="000000" w:sz="4" w:space="0"/>
              <w:bottom w:val="single" w:color="000000" w:sz="4" w:space="0"/>
              <w:right w:val="single" w:color="000000" w:sz="4" w:space="0"/>
            </w:tcBorders>
            <w:vAlign w:val="center"/>
          </w:tcPr>
          <w:p w14:paraId="1D9FB2B8">
            <w:pPr>
              <w:widowControl/>
              <w:jc w:val="left"/>
              <w:rPr>
                <w:color w:val="auto"/>
                <w:kern w:val="0"/>
                <w:sz w:val="24"/>
              </w:rPr>
            </w:pPr>
            <w:r>
              <w:rPr>
                <w:rFonts w:hint="eastAsia" w:eastAsia="仿宋" w:cs="仿宋"/>
                <w:color w:val="auto"/>
                <w:kern w:val="0"/>
                <w:sz w:val="24"/>
                <w:lang w:bidi="ar"/>
              </w:rPr>
              <w:t>供应商名称</w:t>
            </w:r>
          </w:p>
        </w:tc>
        <w:tc>
          <w:tcPr>
            <w:tcW w:w="4223" w:type="dxa"/>
            <w:tcBorders>
              <w:top w:val="single" w:color="000000" w:sz="4" w:space="0"/>
              <w:left w:val="single" w:color="000000" w:sz="4" w:space="0"/>
              <w:bottom w:val="single" w:color="000000" w:sz="4" w:space="0"/>
              <w:right w:val="single" w:color="000000" w:sz="4" w:space="0"/>
            </w:tcBorders>
            <w:vAlign w:val="center"/>
          </w:tcPr>
          <w:p w14:paraId="1297EF33">
            <w:pPr>
              <w:widowControl/>
              <w:jc w:val="left"/>
              <w:rPr>
                <w:color w:val="auto"/>
                <w:kern w:val="0"/>
                <w:sz w:val="24"/>
              </w:rPr>
            </w:pPr>
            <w:r>
              <w:rPr>
                <w:rFonts w:hint="eastAsia" w:eastAsia="仿宋" w:cs="仿宋"/>
                <w:color w:val="auto"/>
                <w:kern w:val="0"/>
                <w:sz w:val="24"/>
                <w:lang w:bidi="ar"/>
              </w:rPr>
              <w:t>与营业执照（或事业单位法人证书等证明材料）一致</w:t>
            </w:r>
          </w:p>
        </w:tc>
        <w:tc>
          <w:tcPr>
            <w:tcW w:w="1842" w:type="dxa"/>
            <w:tcBorders>
              <w:top w:val="single" w:color="000000" w:sz="4" w:space="0"/>
              <w:left w:val="single" w:color="000000" w:sz="4" w:space="0"/>
              <w:bottom w:val="single" w:color="000000" w:sz="4" w:space="0"/>
              <w:right w:val="single" w:color="000000" w:sz="4" w:space="0"/>
            </w:tcBorders>
            <w:vAlign w:val="center"/>
          </w:tcPr>
          <w:p w14:paraId="69C02D66">
            <w:pPr>
              <w:widowControl/>
              <w:rPr>
                <w:color w:val="auto"/>
                <w:kern w:val="0"/>
                <w:sz w:val="24"/>
              </w:rPr>
            </w:pPr>
          </w:p>
        </w:tc>
      </w:tr>
      <w:tr w14:paraId="4DB50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21024A2A">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6FE3E11B">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143FBD53">
            <w:pPr>
              <w:widowControl/>
              <w:jc w:val="left"/>
              <w:rPr>
                <w:color w:val="auto"/>
                <w:kern w:val="0"/>
                <w:sz w:val="24"/>
              </w:rPr>
            </w:pPr>
            <w:r>
              <w:rPr>
                <w:rFonts w:hint="eastAsia" w:eastAsia="仿宋" w:cs="仿宋"/>
                <w:color w:val="auto"/>
                <w:kern w:val="0"/>
                <w:sz w:val="24"/>
                <w:lang w:bidi="ar"/>
              </w:rPr>
              <w:t>响应文件签署</w:t>
            </w:r>
          </w:p>
        </w:tc>
        <w:tc>
          <w:tcPr>
            <w:tcW w:w="4223" w:type="dxa"/>
            <w:tcBorders>
              <w:top w:val="single" w:color="000000" w:sz="4" w:space="0"/>
              <w:left w:val="single" w:color="000000" w:sz="4" w:space="0"/>
              <w:bottom w:val="single" w:color="000000" w:sz="4" w:space="0"/>
              <w:right w:val="single" w:color="000000" w:sz="4" w:space="0"/>
            </w:tcBorders>
            <w:vAlign w:val="center"/>
          </w:tcPr>
          <w:p w14:paraId="6C4EDE02">
            <w:pPr>
              <w:widowControl/>
              <w:jc w:val="left"/>
              <w:rPr>
                <w:color w:val="auto"/>
                <w:kern w:val="0"/>
                <w:sz w:val="24"/>
              </w:rPr>
            </w:pPr>
            <w:r>
              <w:rPr>
                <w:rFonts w:hint="eastAsia" w:eastAsia="仿宋" w:cs="仿宋"/>
                <w:color w:val="auto"/>
                <w:kern w:val="0"/>
                <w:sz w:val="24"/>
                <w:lang w:bidi="ar"/>
              </w:rPr>
              <w:t>响应文件签字盖章符合竞争性磋商文件规定</w:t>
            </w:r>
          </w:p>
        </w:tc>
        <w:tc>
          <w:tcPr>
            <w:tcW w:w="1842" w:type="dxa"/>
            <w:tcBorders>
              <w:top w:val="single" w:color="000000" w:sz="4" w:space="0"/>
              <w:left w:val="single" w:color="000000" w:sz="4" w:space="0"/>
              <w:bottom w:val="single" w:color="000000" w:sz="4" w:space="0"/>
              <w:right w:val="single" w:color="000000" w:sz="4" w:space="0"/>
            </w:tcBorders>
            <w:vAlign w:val="center"/>
          </w:tcPr>
          <w:p w14:paraId="28A7F029">
            <w:pPr>
              <w:widowControl/>
              <w:rPr>
                <w:color w:val="auto"/>
                <w:kern w:val="0"/>
                <w:sz w:val="24"/>
              </w:rPr>
            </w:pPr>
          </w:p>
        </w:tc>
      </w:tr>
      <w:tr w14:paraId="35940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5767187">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1BEE2688">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1A48E4C2">
            <w:pPr>
              <w:spacing w:line="240" w:lineRule="exact"/>
              <w:rPr>
                <w:color w:val="auto"/>
                <w:sz w:val="24"/>
              </w:rPr>
            </w:pPr>
            <w:r>
              <w:rPr>
                <w:rFonts w:hint="eastAsia" w:eastAsia="仿宋" w:cs="仿宋"/>
                <w:color w:val="auto"/>
                <w:sz w:val="24"/>
                <w:lang w:bidi="ar"/>
              </w:rPr>
              <w:t>法定代表人（单位负责人）身份证明及授权委托书</w:t>
            </w:r>
          </w:p>
        </w:tc>
        <w:tc>
          <w:tcPr>
            <w:tcW w:w="4223" w:type="dxa"/>
            <w:tcBorders>
              <w:top w:val="single" w:color="000000" w:sz="4" w:space="0"/>
              <w:left w:val="single" w:color="000000" w:sz="4" w:space="0"/>
              <w:bottom w:val="single" w:color="000000" w:sz="4" w:space="0"/>
              <w:right w:val="single" w:color="000000" w:sz="4" w:space="0"/>
            </w:tcBorders>
            <w:vAlign w:val="center"/>
          </w:tcPr>
          <w:p w14:paraId="797CA689">
            <w:pPr>
              <w:spacing w:line="240" w:lineRule="exact"/>
              <w:rPr>
                <w:color w:val="auto"/>
                <w:sz w:val="24"/>
              </w:rPr>
            </w:pPr>
            <w:r>
              <w:rPr>
                <w:rFonts w:hint="eastAsia" w:eastAsia="仿宋" w:cs="仿宋"/>
                <w:color w:val="auto"/>
                <w:sz w:val="24"/>
                <w:lang w:bidi="ar"/>
              </w:rPr>
              <w:t>法定代表人（单位负责人）身份证明及授权委托书符合竞争性磋商文件规定的格式，按规定格式签字盖章</w:t>
            </w:r>
          </w:p>
        </w:tc>
        <w:tc>
          <w:tcPr>
            <w:tcW w:w="1842" w:type="dxa"/>
            <w:tcBorders>
              <w:top w:val="single" w:color="000000" w:sz="4" w:space="0"/>
              <w:left w:val="single" w:color="000000" w:sz="4" w:space="0"/>
              <w:bottom w:val="single" w:color="000000" w:sz="4" w:space="0"/>
              <w:right w:val="single" w:color="000000" w:sz="4" w:space="0"/>
            </w:tcBorders>
            <w:vAlign w:val="center"/>
          </w:tcPr>
          <w:p w14:paraId="3E0DE196">
            <w:pPr>
              <w:widowControl/>
              <w:rPr>
                <w:color w:val="auto"/>
                <w:kern w:val="0"/>
                <w:sz w:val="24"/>
              </w:rPr>
            </w:pPr>
          </w:p>
        </w:tc>
      </w:tr>
      <w:tr w14:paraId="7C44A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0C193F2D">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F9954AD">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8523494">
            <w:pPr>
              <w:widowControl/>
              <w:jc w:val="left"/>
              <w:rPr>
                <w:color w:val="auto"/>
                <w:kern w:val="0"/>
                <w:sz w:val="24"/>
              </w:rPr>
            </w:pPr>
            <w:r>
              <w:rPr>
                <w:rFonts w:hint="eastAsia" w:eastAsia="仿宋" w:cs="仿宋"/>
                <w:color w:val="auto"/>
                <w:kern w:val="0"/>
                <w:sz w:val="24"/>
                <w:lang w:bidi="ar"/>
              </w:rPr>
              <w:t>响应文件格式</w:t>
            </w:r>
          </w:p>
        </w:tc>
        <w:tc>
          <w:tcPr>
            <w:tcW w:w="4223" w:type="dxa"/>
            <w:tcBorders>
              <w:top w:val="single" w:color="000000" w:sz="4" w:space="0"/>
              <w:left w:val="single" w:color="000000" w:sz="4" w:space="0"/>
              <w:bottom w:val="single" w:color="000000" w:sz="4" w:space="0"/>
              <w:right w:val="single" w:color="000000" w:sz="4" w:space="0"/>
            </w:tcBorders>
            <w:vAlign w:val="center"/>
          </w:tcPr>
          <w:p w14:paraId="04B819C4">
            <w:pPr>
              <w:widowControl/>
              <w:jc w:val="left"/>
              <w:rPr>
                <w:color w:val="auto"/>
                <w:kern w:val="0"/>
                <w:sz w:val="24"/>
              </w:rPr>
            </w:pPr>
            <w:r>
              <w:rPr>
                <w:rFonts w:hint="eastAsia" w:eastAsia="仿宋" w:cs="仿宋"/>
                <w:color w:val="auto"/>
                <w:kern w:val="0"/>
                <w:sz w:val="24"/>
                <w:lang w:bidi="ar"/>
              </w:rPr>
              <w:t>符合竞争性磋商文件给定格式要求，实质性内容齐全，关键内容、字迹清晰可辨</w:t>
            </w:r>
          </w:p>
        </w:tc>
        <w:tc>
          <w:tcPr>
            <w:tcW w:w="1842" w:type="dxa"/>
            <w:tcBorders>
              <w:top w:val="single" w:color="000000" w:sz="4" w:space="0"/>
              <w:left w:val="single" w:color="000000" w:sz="4" w:space="0"/>
              <w:bottom w:val="single" w:color="000000" w:sz="4" w:space="0"/>
              <w:right w:val="single" w:color="000000" w:sz="4" w:space="0"/>
            </w:tcBorders>
            <w:vAlign w:val="center"/>
          </w:tcPr>
          <w:p w14:paraId="25C11B64">
            <w:pPr>
              <w:widowControl/>
              <w:rPr>
                <w:color w:val="auto"/>
                <w:kern w:val="0"/>
                <w:sz w:val="24"/>
              </w:rPr>
            </w:pPr>
          </w:p>
        </w:tc>
      </w:tr>
      <w:tr w14:paraId="36E98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707E546B">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97990D2">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07B59D30">
            <w:pPr>
              <w:widowControl/>
              <w:jc w:val="left"/>
              <w:rPr>
                <w:color w:val="auto"/>
                <w:kern w:val="0"/>
                <w:sz w:val="24"/>
              </w:rPr>
            </w:pPr>
            <w:r>
              <w:rPr>
                <w:rFonts w:hint="eastAsia" w:eastAsia="仿宋" w:cs="仿宋"/>
                <w:color w:val="auto"/>
                <w:kern w:val="0"/>
                <w:sz w:val="24"/>
                <w:lang w:bidi="ar"/>
              </w:rPr>
              <w:t>联合体响应</w:t>
            </w:r>
          </w:p>
        </w:tc>
        <w:tc>
          <w:tcPr>
            <w:tcW w:w="4223" w:type="dxa"/>
            <w:tcBorders>
              <w:top w:val="single" w:color="000000" w:sz="4" w:space="0"/>
              <w:left w:val="single" w:color="000000" w:sz="4" w:space="0"/>
              <w:bottom w:val="single" w:color="000000" w:sz="4" w:space="0"/>
              <w:right w:val="single" w:color="000000" w:sz="4" w:space="0"/>
            </w:tcBorders>
            <w:vAlign w:val="center"/>
          </w:tcPr>
          <w:p w14:paraId="5D5BE632">
            <w:pPr>
              <w:widowControl/>
              <w:jc w:val="left"/>
              <w:rPr>
                <w:color w:val="auto"/>
                <w:kern w:val="0"/>
                <w:sz w:val="24"/>
              </w:rPr>
            </w:pPr>
            <w:r>
              <w:rPr>
                <w:rFonts w:hint="eastAsia" w:eastAsia="仿宋" w:cs="仿宋"/>
                <w:color w:val="auto"/>
                <w:kern w:val="0"/>
                <w:sz w:val="24"/>
                <w:lang w:bidi="ar"/>
              </w:rPr>
              <w:t>联合体协议书，并明确联合体牵头人（如允许）</w:t>
            </w:r>
          </w:p>
        </w:tc>
        <w:tc>
          <w:tcPr>
            <w:tcW w:w="1842" w:type="dxa"/>
            <w:tcBorders>
              <w:top w:val="single" w:color="000000" w:sz="4" w:space="0"/>
              <w:left w:val="single" w:color="000000" w:sz="4" w:space="0"/>
              <w:bottom w:val="single" w:color="000000" w:sz="4" w:space="0"/>
              <w:right w:val="single" w:color="000000" w:sz="4" w:space="0"/>
            </w:tcBorders>
            <w:vAlign w:val="center"/>
          </w:tcPr>
          <w:p w14:paraId="299AE900">
            <w:pPr>
              <w:widowControl/>
              <w:rPr>
                <w:color w:val="auto"/>
                <w:kern w:val="0"/>
                <w:sz w:val="24"/>
              </w:rPr>
            </w:pPr>
          </w:p>
        </w:tc>
      </w:tr>
      <w:tr w14:paraId="7492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7016C49">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4CA409BB">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4C162346">
            <w:pPr>
              <w:widowControl/>
              <w:rPr>
                <w:color w:val="auto"/>
                <w:kern w:val="0"/>
                <w:sz w:val="24"/>
              </w:rPr>
            </w:pPr>
            <w:r>
              <w:rPr>
                <w:rFonts w:hint="eastAsia" w:eastAsia="仿宋" w:cs="仿宋"/>
                <w:color w:val="auto"/>
                <w:kern w:val="0"/>
                <w:sz w:val="24"/>
                <w:lang w:bidi="ar"/>
              </w:rPr>
              <w:t>响应文件份数</w:t>
            </w:r>
          </w:p>
        </w:tc>
        <w:tc>
          <w:tcPr>
            <w:tcW w:w="4223" w:type="dxa"/>
            <w:tcBorders>
              <w:top w:val="single" w:color="000000" w:sz="4" w:space="0"/>
              <w:left w:val="single" w:color="000000" w:sz="4" w:space="0"/>
              <w:bottom w:val="single" w:color="000000" w:sz="4" w:space="0"/>
              <w:right w:val="single" w:color="000000" w:sz="4" w:space="0"/>
            </w:tcBorders>
            <w:vAlign w:val="center"/>
          </w:tcPr>
          <w:p w14:paraId="08541431">
            <w:pPr>
              <w:widowControl/>
              <w:jc w:val="left"/>
              <w:rPr>
                <w:color w:val="auto"/>
                <w:kern w:val="0"/>
                <w:sz w:val="24"/>
              </w:rPr>
            </w:pPr>
            <w:r>
              <w:rPr>
                <w:rFonts w:hint="eastAsia" w:eastAsia="仿宋" w:cs="仿宋"/>
                <w:color w:val="auto"/>
                <w:kern w:val="0"/>
                <w:sz w:val="24"/>
                <w:lang w:bidi="ar"/>
              </w:rPr>
              <w:t>符合竞争性磋商文件要求</w:t>
            </w:r>
          </w:p>
        </w:tc>
        <w:tc>
          <w:tcPr>
            <w:tcW w:w="1842" w:type="dxa"/>
            <w:tcBorders>
              <w:top w:val="single" w:color="000000" w:sz="4" w:space="0"/>
              <w:left w:val="single" w:color="000000" w:sz="4" w:space="0"/>
              <w:bottom w:val="single" w:color="000000" w:sz="4" w:space="0"/>
              <w:right w:val="single" w:color="000000" w:sz="4" w:space="0"/>
            </w:tcBorders>
            <w:vAlign w:val="center"/>
          </w:tcPr>
          <w:p w14:paraId="1C975486">
            <w:pPr>
              <w:widowControl/>
              <w:rPr>
                <w:color w:val="auto"/>
                <w:kern w:val="0"/>
                <w:sz w:val="24"/>
              </w:rPr>
            </w:pPr>
          </w:p>
        </w:tc>
      </w:tr>
      <w:tr w14:paraId="733AB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2E632AF8">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2D742E42">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5D1F5C5D">
            <w:pPr>
              <w:pStyle w:val="21"/>
              <w:rPr>
                <w:rFonts w:ascii="Calibri" w:hAnsi="Calibri" w:eastAsia="仿宋" w:cs="仿宋"/>
                <w:color w:val="auto"/>
                <w:sz w:val="24"/>
                <w:szCs w:val="24"/>
              </w:rPr>
            </w:pPr>
            <w:r>
              <w:rPr>
                <w:rFonts w:eastAsia="仿宋"/>
                <w:color w:val="auto"/>
                <w:sz w:val="24"/>
              </w:rPr>
              <w:t>未出现异常情形</w:t>
            </w:r>
          </w:p>
        </w:tc>
        <w:tc>
          <w:tcPr>
            <w:tcW w:w="4223" w:type="dxa"/>
            <w:tcBorders>
              <w:top w:val="single" w:color="000000" w:sz="4" w:space="0"/>
              <w:left w:val="single" w:color="000000" w:sz="4" w:space="0"/>
              <w:bottom w:val="single" w:color="000000" w:sz="4" w:space="0"/>
              <w:right w:val="single" w:color="000000" w:sz="4" w:space="0"/>
            </w:tcBorders>
            <w:vAlign w:val="center"/>
          </w:tcPr>
          <w:p w14:paraId="17273314">
            <w:pPr>
              <w:pStyle w:val="21"/>
              <w:rPr>
                <w:rFonts w:ascii="Calibri" w:hAnsi="Calibri" w:eastAsia="仿宋" w:cs="仿宋"/>
                <w:color w:val="auto"/>
                <w:sz w:val="24"/>
                <w:szCs w:val="24"/>
              </w:rPr>
            </w:pPr>
            <w:r>
              <w:rPr>
                <w:rFonts w:eastAsia="仿宋"/>
                <w:color w:val="auto"/>
                <w:sz w:val="24"/>
              </w:rPr>
              <w:t>不同</w:t>
            </w:r>
            <w:r>
              <w:rPr>
                <w:rFonts w:hint="eastAsia" w:eastAsia="仿宋"/>
                <w:color w:val="auto"/>
                <w:sz w:val="24"/>
              </w:rPr>
              <w:t>供应商</w:t>
            </w:r>
            <w:r>
              <w:rPr>
                <w:rFonts w:eastAsia="仿宋"/>
                <w:color w:val="auto"/>
                <w:sz w:val="24"/>
              </w:rPr>
              <w:t>的</w:t>
            </w:r>
            <w:r>
              <w:rPr>
                <w:rFonts w:hint="eastAsia" w:eastAsia="仿宋"/>
                <w:color w:val="auto"/>
                <w:sz w:val="24"/>
              </w:rPr>
              <w:t>响应</w:t>
            </w:r>
            <w:r>
              <w:rPr>
                <w:rFonts w:eastAsia="仿宋"/>
                <w:color w:val="auto"/>
                <w:sz w:val="24"/>
              </w:rPr>
              <w:t>文件机器识别码不得相同。</w:t>
            </w:r>
          </w:p>
        </w:tc>
        <w:tc>
          <w:tcPr>
            <w:tcW w:w="1842" w:type="dxa"/>
            <w:tcBorders>
              <w:top w:val="single" w:color="000000" w:sz="4" w:space="0"/>
              <w:left w:val="single" w:color="000000" w:sz="4" w:space="0"/>
              <w:bottom w:val="single" w:color="000000" w:sz="4" w:space="0"/>
              <w:right w:val="single" w:color="000000" w:sz="4" w:space="0"/>
            </w:tcBorders>
            <w:vAlign w:val="center"/>
          </w:tcPr>
          <w:p w14:paraId="55DF5131">
            <w:pPr>
              <w:widowControl/>
              <w:rPr>
                <w:color w:val="auto"/>
                <w:kern w:val="0"/>
                <w:sz w:val="24"/>
              </w:rPr>
            </w:pPr>
          </w:p>
        </w:tc>
      </w:tr>
      <w:tr w14:paraId="450A7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2E93A0D5">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708DDBED">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0D3AF70E">
            <w:pPr>
              <w:pStyle w:val="21"/>
              <w:rPr>
                <w:rFonts w:ascii="Calibri" w:hAnsi="Calibri"/>
                <w:color w:val="auto"/>
                <w:sz w:val="24"/>
                <w:szCs w:val="24"/>
              </w:rPr>
            </w:pPr>
            <w:r>
              <w:rPr>
                <w:rFonts w:hint="eastAsia" w:ascii="Calibri" w:hAnsi="Calibri" w:eastAsia="仿宋" w:cs="仿宋"/>
                <w:color w:val="auto"/>
                <w:sz w:val="24"/>
                <w:szCs w:val="24"/>
              </w:rPr>
              <w:t>其他要求</w:t>
            </w:r>
          </w:p>
        </w:tc>
        <w:tc>
          <w:tcPr>
            <w:tcW w:w="4223" w:type="dxa"/>
            <w:tcBorders>
              <w:top w:val="single" w:color="000000" w:sz="4" w:space="0"/>
              <w:left w:val="single" w:color="000000" w:sz="4" w:space="0"/>
              <w:bottom w:val="single" w:color="000000" w:sz="4" w:space="0"/>
              <w:right w:val="single" w:color="000000" w:sz="4" w:space="0"/>
            </w:tcBorders>
            <w:vAlign w:val="center"/>
          </w:tcPr>
          <w:p w14:paraId="2A24938D">
            <w:pPr>
              <w:pStyle w:val="21"/>
              <w:rPr>
                <w:rFonts w:ascii="Calibri" w:hAnsi="Calibri"/>
                <w:color w:val="auto"/>
                <w:sz w:val="24"/>
                <w:szCs w:val="24"/>
              </w:rPr>
            </w:pPr>
            <w:r>
              <w:rPr>
                <w:rFonts w:hint="eastAsia" w:ascii="Calibri" w:hAnsi="Calibri" w:eastAsia="仿宋" w:cs="仿宋"/>
                <w:color w:val="auto"/>
                <w:sz w:val="24"/>
                <w:szCs w:val="24"/>
              </w:rPr>
              <w:t>符合第二章“供应商须知”规定</w:t>
            </w:r>
          </w:p>
        </w:tc>
        <w:tc>
          <w:tcPr>
            <w:tcW w:w="1842" w:type="dxa"/>
            <w:tcBorders>
              <w:top w:val="single" w:color="000000" w:sz="4" w:space="0"/>
              <w:left w:val="single" w:color="000000" w:sz="4" w:space="0"/>
              <w:bottom w:val="single" w:color="000000" w:sz="4" w:space="0"/>
              <w:right w:val="single" w:color="000000" w:sz="4" w:space="0"/>
            </w:tcBorders>
            <w:vAlign w:val="center"/>
          </w:tcPr>
          <w:p w14:paraId="583D5C4B">
            <w:pPr>
              <w:widowControl/>
              <w:rPr>
                <w:color w:val="auto"/>
                <w:kern w:val="0"/>
                <w:sz w:val="24"/>
              </w:rPr>
            </w:pPr>
          </w:p>
        </w:tc>
      </w:tr>
      <w:tr w14:paraId="748BF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3E2E81DB">
            <w:pPr>
              <w:widowControl/>
              <w:jc w:val="center"/>
              <w:rPr>
                <w:color w:val="auto"/>
                <w:kern w:val="0"/>
                <w:sz w:val="24"/>
              </w:rPr>
            </w:pPr>
            <w:r>
              <w:rPr>
                <w:rFonts w:eastAsia="仿宋"/>
                <w:color w:val="auto"/>
                <w:kern w:val="0"/>
                <w:sz w:val="24"/>
                <w:lang w:bidi="ar"/>
              </w:rPr>
              <w:t>3.1.2</w:t>
            </w:r>
          </w:p>
        </w:tc>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1938864D">
            <w:pPr>
              <w:widowControl/>
              <w:jc w:val="center"/>
              <w:rPr>
                <w:color w:val="auto"/>
                <w:kern w:val="0"/>
                <w:sz w:val="24"/>
              </w:rPr>
            </w:pPr>
            <w:r>
              <w:rPr>
                <w:rFonts w:hint="eastAsia" w:eastAsia="仿宋" w:cs="仿宋"/>
                <w:color w:val="auto"/>
                <w:kern w:val="0"/>
                <w:sz w:val="24"/>
                <w:lang w:bidi="ar"/>
              </w:rPr>
              <w:t>资格评审</w:t>
            </w:r>
          </w:p>
        </w:tc>
        <w:tc>
          <w:tcPr>
            <w:tcW w:w="1842" w:type="dxa"/>
            <w:tcBorders>
              <w:top w:val="single" w:color="000000" w:sz="4" w:space="0"/>
              <w:left w:val="single" w:color="000000" w:sz="4" w:space="0"/>
              <w:bottom w:val="single" w:color="000000" w:sz="4" w:space="0"/>
              <w:right w:val="single" w:color="000000" w:sz="4" w:space="0"/>
            </w:tcBorders>
            <w:vAlign w:val="center"/>
          </w:tcPr>
          <w:p w14:paraId="28850659">
            <w:pPr>
              <w:pStyle w:val="21"/>
              <w:adjustRightInd w:val="0"/>
              <w:jc w:val="left"/>
              <w:rPr>
                <w:rFonts w:ascii="Calibri" w:hAnsi="Calibri" w:eastAsia="仿宋"/>
                <w:color w:val="auto"/>
                <w:sz w:val="24"/>
                <w:szCs w:val="24"/>
              </w:rPr>
            </w:pPr>
            <w:r>
              <w:rPr>
                <w:rFonts w:hint="eastAsia" w:ascii="Calibri" w:hAnsi="Calibri" w:eastAsia="仿宋" w:cs="仿宋"/>
                <w:color w:val="auto"/>
                <w:sz w:val="24"/>
                <w:szCs w:val="24"/>
              </w:rPr>
              <w:t>供应商资格要求</w:t>
            </w:r>
          </w:p>
        </w:tc>
        <w:tc>
          <w:tcPr>
            <w:tcW w:w="4223" w:type="dxa"/>
            <w:tcBorders>
              <w:top w:val="single" w:color="000000" w:sz="4" w:space="0"/>
              <w:left w:val="single" w:color="000000" w:sz="4" w:space="0"/>
              <w:bottom w:val="single" w:color="000000" w:sz="4" w:space="0"/>
              <w:right w:val="single" w:color="000000" w:sz="4" w:space="0"/>
            </w:tcBorders>
            <w:vAlign w:val="center"/>
          </w:tcPr>
          <w:p w14:paraId="12515E06">
            <w:pPr>
              <w:pStyle w:val="21"/>
              <w:overflowPunct w:val="0"/>
              <w:autoSpaceDE w:val="0"/>
              <w:autoSpaceDN w:val="0"/>
              <w:adjustRightInd w:val="0"/>
              <w:rPr>
                <w:rFonts w:ascii="Calibri" w:hAnsi="Calibri" w:eastAsia="仿宋" w:cs="仿宋"/>
                <w:color w:val="auto"/>
                <w:sz w:val="24"/>
                <w:szCs w:val="24"/>
              </w:rPr>
            </w:pPr>
            <w:r>
              <w:rPr>
                <w:rFonts w:ascii="Calibri" w:hAnsi="Calibri" w:eastAsia="仿宋" w:cs="仿宋"/>
                <w:color w:val="auto"/>
                <w:sz w:val="24"/>
                <w:szCs w:val="24"/>
              </w:rPr>
              <w:t>1.</w:t>
            </w:r>
            <w:r>
              <w:rPr>
                <w:rFonts w:hint="eastAsia" w:ascii="Calibri" w:hAnsi="Calibri" w:eastAsia="仿宋" w:cs="仿宋"/>
                <w:color w:val="auto"/>
                <w:sz w:val="24"/>
                <w:szCs w:val="24"/>
              </w:rPr>
              <w:t>满足《中华人民共和国政府采购法》第二十二条规定；</w:t>
            </w:r>
          </w:p>
          <w:p w14:paraId="5690CFEA">
            <w:pPr>
              <w:pStyle w:val="21"/>
              <w:overflowPunct w:val="0"/>
              <w:autoSpaceDE w:val="0"/>
              <w:autoSpaceDN w:val="0"/>
              <w:adjustRightInd w:val="0"/>
              <w:rPr>
                <w:rFonts w:ascii="Calibri" w:hAnsi="Calibri" w:eastAsia="仿宋" w:cs="仿宋"/>
                <w:color w:val="auto"/>
                <w:sz w:val="24"/>
                <w:szCs w:val="24"/>
              </w:rPr>
            </w:pPr>
            <w:r>
              <w:rPr>
                <w:rFonts w:ascii="Calibri" w:hAnsi="Calibri" w:eastAsia="仿宋" w:cs="仿宋"/>
                <w:color w:val="auto"/>
                <w:sz w:val="24"/>
                <w:szCs w:val="24"/>
              </w:rPr>
              <w:t>2.</w:t>
            </w:r>
            <w:r>
              <w:rPr>
                <w:rFonts w:hint="eastAsia" w:ascii="Calibri" w:hAnsi="Calibri" w:eastAsia="仿宋" w:cs="仿宋"/>
                <w:color w:val="auto"/>
                <w:sz w:val="24"/>
                <w:szCs w:val="24"/>
              </w:rPr>
              <w:t>落实政府采购政策需满足的资格要求：无；</w:t>
            </w:r>
          </w:p>
          <w:p w14:paraId="0C8525A5">
            <w:pPr>
              <w:pStyle w:val="21"/>
              <w:overflowPunct w:val="0"/>
              <w:autoSpaceDE w:val="0"/>
              <w:autoSpaceDN w:val="0"/>
              <w:adjustRightInd w:val="0"/>
              <w:rPr>
                <w:rFonts w:ascii="Calibri" w:hAnsi="Calibri" w:eastAsia="仿宋" w:cs="仿宋"/>
                <w:color w:val="auto"/>
                <w:sz w:val="24"/>
                <w:szCs w:val="24"/>
              </w:rPr>
            </w:pPr>
            <w:r>
              <w:rPr>
                <w:rFonts w:ascii="Calibri" w:hAnsi="Calibri" w:eastAsia="仿宋" w:cs="仿宋"/>
                <w:color w:val="auto"/>
                <w:sz w:val="24"/>
                <w:szCs w:val="24"/>
              </w:rPr>
              <w:t>3.</w:t>
            </w:r>
            <w:r>
              <w:rPr>
                <w:rFonts w:hint="eastAsia" w:ascii="Calibri" w:hAnsi="Calibri" w:eastAsia="仿宋" w:cs="仿宋"/>
                <w:color w:val="auto"/>
                <w:sz w:val="24"/>
                <w:szCs w:val="24"/>
              </w:rPr>
              <w:t>本项目的特定资格要求：在中国政府采购网登记备案；</w:t>
            </w:r>
          </w:p>
          <w:p w14:paraId="6B01D20D">
            <w:pPr>
              <w:pStyle w:val="21"/>
              <w:overflowPunct w:val="0"/>
              <w:autoSpaceDE w:val="0"/>
              <w:autoSpaceDN w:val="0"/>
              <w:adjustRightInd w:val="0"/>
              <w:rPr>
                <w:rFonts w:ascii="Calibri" w:hAnsi="Calibri" w:eastAsia="仿宋" w:cs="仿宋"/>
                <w:color w:val="auto"/>
                <w:sz w:val="24"/>
                <w:szCs w:val="24"/>
              </w:rPr>
            </w:pPr>
            <w:r>
              <w:rPr>
                <w:rFonts w:hint="eastAsia" w:ascii="Calibri" w:hAnsi="Calibri" w:eastAsia="仿宋" w:cs="仿宋"/>
                <w:color w:val="auto"/>
                <w:sz w:val="24"/>
                <w:szCs w:val="24"/>
              </w:rPr>
              <w:t>4.单位负责人为同一人或者存在直接控股、管理关系的不同供应商，不得参加同一合同项下的采购活动；</w:t>
            </w:r>
          </w:p>
          <w:p w14:paraId="3FE435E2">
            <w:pPr>
              <w:pStyle w:val="21"/>
              <w:overflowPunct w:val="0"/>
              <w:autoSpaceDE w:val="0"/>
              <w:autoSpaceDN w:val="0"/>
              <w:adjustRightInd w:val="0"/>
              <w:rPr>
                <w:rFonts w:ascii="Calibri" w:hAnsi="Calibri" w:eastAsia="仿宋" w:cs="仿宋"/>
                <w:color w:val="auto"/>
                <w:sz w:val="24"/>
                <w:szCs w:val="24"/>
              </w:rPr>
            </w:pPr>
            <w:r>
              <w:rPr>
                <w:rFonts w:hint="eastAsia" w:ascii="Calibri" w:hAnsi="Calibri" w:eastAsia="仿宋" w:cs="仿宋"/>
                <w:color w:val="auto"/>
                <w:sz w:val="24"/>
                <w:szCs w:val="24"/>
              </w:rPr>
              <w:t>5.截至提交首次响应文件截止时间，供应商（不含其不具有独立法人资格的分支机构）存在下列有效情形之一的，其响应文件按无效处理。</w:t>
            </w:r>
          </w:p>
          <w:p w14:paraId="30F3EE01">
            <w:pPr>
              <w:pStyle w:val="21"/>
              <w:overflowPunct w:val="0"/>
              <w:autoSpaceDE w:val="0"/>
              <w:autoSpaceDN w:val="0"/>
              <w:adjustRightInd w:val="0"/>
              <w:rPr>
                <w:rFonts w:ascii="Calibri" w:hAnsi="Calibri" w:eastAsia="仿宋" w:cs="仿宋"/>
                <w:color w:val="auto"/>
                <w:sz w:val="24"/>
                <w:szCs w:val="24"/>
              </w:rPr>
            </w:pPr>
            <w:r>
              <w:rPr>
                <w:rFonts w:hint="eastAsia" w:ascii="Calibri" w:hAnsi="Calibri" w:eastAsia="仿宋" w:cs="仿宋"/>
                <w:color w:val="auto"/>
                <w:sz w:val="24"/>
                <w:szCs w:val="24"/>
              </w:rPr>
              <w:t>（1）被人民法院列入失信被执行人名单的；</w:t>
            </w:r>
          </w:p>
          <w:p w14:paraId="18FE5A1B">
            <w:pPr>
              <w:pStyle w:val="21"/>
              <w:overflowPunct w:val="0"/>
              <w:autoSpaceDE w:val="0"/>
              <w:autoSpaceDN w:val="0"/>
              <w:adjustRightInd w:val="0"/>
              <w:rPr>
                <w:rFonts w:ascii="Calibri" w:hAnsi="Calibri" w:eastAsia="仿宋" w:cs="仿宋"/>
                <w:color w:val="auto"/>
                <w:sz w:val="24"/>
                <w:szCs w:val="24"/>
              </w:rPr>
            </w:pPr>
            <w:r>
              <w:rPr>
                <w:rFonts w:hint="eastAsia" w:ascii="Calibri" w:hAnsi="Calibri" w:eastAsia="仿宋" w:cs="仿宋"/>
                <w:color w:val="auto"/>
                <w:sz w:val="24"/>
                <w:szCs w:val="24"/>
              </w:rPr>
              <w:t>（2）被税务机关列入重大税收违法失信主体的；</w:t>
            </w:r>
          </w:p>
          <w:p w14:paraId="70D38B0F">
            <w:pPr>
              <w:pStyle w:val="21"/>
              <w:overflowPunct w:val="0"/>
              <w:autoSpaceDE w:val="0"/>
              <w:autoSpaceDN w:val="0"/>
              <w:adjustRightInd w:val="0"/>
              <w:rPr>
                <w:rFonts w:ascii="Calibri" w:hAnsi="Calibri" w:eastAsia="仿宋" w:cs="仿宋"/>
                <w:color w:val="auto"/>
                <w:sz w:val="24"/>
                <w:szCs w:val="24"/>
              </w:rPr>
            </w:pPr>
            <w:r>
              <w:rPr>
                <w:rFonts w:hint="eastAsia" w:ascii="Calibri" w:hAnsi="Calibri" w:eastAsia="仿宋" w:cs="仿宋"/>
                <w:color w:val="auto"/>
                <w:sz w:val="24"/>
                <w:szCs w:val="24"/>
              </w:rPr>
              <w:t>（3）被财政部门列入政府采购严重违法失信名单的；</w:t>
            </w:r>
          </w:p>
          <w:p w14:paraId="7E8AA2B3">
            <w:pPr>
              <w:pStyle w:val="21"/>
              <w:overflowPunct w:val="0"/>
              <w:autoSpaceDE w:val="0"/>
              <w:autoSpaceDN w:val="0"/>
              <w:adjustRightInd w:val="0"/>
              <w:rPr>
                <w:rFonts w:ascii="Calibri" w:hAnsi="Calibri"/>
                <w:color w:val="auto"/>
                <w:sz w:val="24"/>
                <w:szCs w:val="24"/>
              </w:rPr>
            </w:pPr>
            <w:r>
              <w:rPr>
                <w:rFonts w:hint="eastAsia" w:ascii="Calibri" w:hAnsi="Calibri" w:eastAsia="仿宋" w:cs="仿宋"/>
                <w:color w:val="auto"/>
                <w:sz w:val="24"/>
                <w:szCs w:val="24"/>
              </w:rPr>
              <w:t>（4）被市场监督管理部门列入经营异常名录或者严重违法失信企业名单的（未按照《企业信息公示暂行条例》（国务院令第654号）第八条规定的期限公示年度报告被列入经营异常名录的除外）。</w:t>
            </w:r>
          </w:p>
        </w:tc>
        <w:tc>
          <w:tcPr>
            <w:tcW w:w="1842" w:type="dxa"/>
            <w:tcBorders>
              <w:top w:val="single" w:color="000000" w:sz="4" w:space="0"/>
              <w:left w:val="single" w:color="000000" w:sz="4" w:space="0"/>
              <w:bottom w:val="single" w:color="000000" w:sz="4" w:space="0"/>
              <w:right w:val="single" w:color="000000" w:sz="4" w:space="0"/>
            </w:tcBorders>
            <w:vAlign w:val="center"/>
          </w:tcPr>
          <w:p w14:paraId="2790AEBB">
            <w:pPr>
              <w:widowControl/>
              <w:adjustRightInd w:val="0"/>
              <w:rPr>
                <w:color w:val="auto"/>
                <w:kern w:val="0"/>
                <w:sz w:val="24"/>
              </w:rPr>
            </w:pPr>
          </w:p>
        </w:tc>
      </w:tr>
      <w:tr w14:paraId="34566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9D944E2">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5F3463D9">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7E75C30">
            <w:pPr>
              <w:pStyle w:val="21"/>
              <w:adjustRightInd w:val="0"/>
              <w:jc w:val="left"/>
              <w:rPr>
                <w:rFonts w:ascii="Calibri" w:hAnsi="Calibri"/>
                <w:color w:val="auto"/>
                <w:sz w:val="24"/>
                <w:szCs w:val="24"/>
              </w:rPr>
            </w:pPr>
            <w:r>
              <w:rPr>
                <w:rFonts w:hint="eastAsia" w:ascii="Calibri" w:hAnsi="Calibri" w:eastAsia="仿宋" w:cs="仿宋"/>
                <w:color w:val="auto"/>
                <w:sz w:val="24"/>
                <w:szCs w:val="24"/>
              </w:rPr>
              <w:t>信用状况</w:t>
            </w:r>
          </w:p>
        </w:tc>
        <w:tc>
          <w:tcPr>
            <w:tcW w:w="4223" w:type="dxa"/>
            <w:tcBorders>
              <w:top w:val="single" w:color="000000" w:sz="4" w:space="0"/>
              <w:left w:val="single" w:color="000000" w:sz="4" w:space="0"/>
              <w:bottom w:val="single" w:color="000000" w:sz="4" w:space="0"/>
              <w:right w:val="single" w:color="000000" w:sz="4" w:space="0"/>
            </w:tcBorders>
            <w:vAlign w:val="center"/>
          </w:tcPr>
          <w:p w14:paraId="01C88DE9">
            <w:pPr>
              <w:pStyle w:val="21"/>
              <w:overflowPunct w:val="0"/>
              <w:autoSpaceDE w:val="0"/>
              <w:autoSpaceDN w:val="0"/>
              <w:adjustRightInd w:val="0"/>
              <w:rPr>
                <w:rFonts w:ascii="Calibri" w:hAnsi="Calibri" w:eastAsia="仿宋"/>
                <w:color w:val="auto"/>
                <w:sz w:val="24"/>
                <w:szCs w:val="24"/>
              </w:rPr>
            </w:pPr>
            <w:r>
              <w:rPr>
                <w:rFonts w:hint="eastAsia" w:ascii="Calibri" w:hAnsi="Calibri" w:eastAsia="仿宋" w:cs="仿宋"/>
                <w:color w:val="auto"/>
                <w:sz w:val="24"/>
                <w:szCs w:val="24"/>
              </w:rPr>
              <w:t>符合第二章“供应商须知”规定（自行提供书面承诺）。</w:t>
            </w:r>
          </w:p>
        </w:tc>
        <w:tc>
          <w:tcPr>
            <w:tcW w:w="1842" w:type="dxa"/>
            <w:tcBorders>
              <w:top w:val="single" w:color="000000" w:sz="4" w:space="0"/>
              <w:left w:val="single" w:color="000000" w:sz="4" w:space="0"/>
              <w:bottom w:val="single" w:color="000000" w:sz="4" w:space="0"/>
              <w:right w:val="single" w:color="000000" w:sz="4" w:space="0"/>
            </w:tcBorders>
            <w:vAlign w:val="center"/>
          </w:tcPr>
          <w:p w14:paraId="05F8C97D">
            <w:pPr>
              <w:widowControl/>
              <w:adjustRightInd w:val="0"/>
              <w:rPr>
                <w:color w:val="auto"/>
                <w:kern w:val="0"/>
                <w:sz w:val="24"/>
              </w:rPr>
            </w:pPr>
          </w:p>
        </w:tc>
      </w:tr>
      <w:tr w14:paraId="172CE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7219261B">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49D7BEA0">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4B8D611">
            <w:pPr>
              <w:pStyle w:val="21"/>
              <w:topLinePunct/>
              <w:jc w:val="left"/>
              <w:rPr>
                <w:rFonts w:ascii="Calibri" w:hAnsi="Calibri" w:eastAsia="仿宋"/>
                <w:color w:val="auto"/>
                <w:sz w:val="24"/>
                <w:szCs w:val="24"/>
              </w:rPr>
            </w:pPr>
            <w:r>
              <w:rPr>
                <w:rFonts w:hint="eastAsia" w:ascii="Calibri" w:hAnsi="Calibri" w:eastAsia="仿宋" w:cs="仿宋"/>
                <w:color w:val="auto"/>
                <w:sz w:val="24"/>
                <w:szCs w:val="24"/>
              </w:rPr>
              <w:t>联合体资格</w:t>
            </w:r>
          </w:p>
        </w:tc>
        <w:tc>
          <w:tcPr>
            <w:tcW w:w="4223" w:type="dxa"/>
            <w:tcBorders>
              <w:top w:val="single" w:color="000000" w:sz="4" w:space="0"/>
              <w:left w:val="single" w:color="000000" w:sz="4" w:space="0"/>
              <w:bottom w:val="single" w:color="000000" w:sz="4" w:space="0"/>
              <w:right w:val="single" w:color="000000" w:sz="4" w:space="0"/>
            </w:tcBorders>
            <w:vAlign w:val="center"/>
          </w:tcPr>
          <w:p w14:paraId="71F93120">
            <w:pPr>
              <w:pStyle w:val="21"/>
              <w:topLinePunct/>
              <w:rPr>
                <w:rFonts w:ascii="Calibri" w:hAnsi="Calibri" w:eastAsia="仿宋"/>
                <w:color w:val="auto"/>
                <w:sz w:val="24"/>
                <w:szCs w:val="24"/>
              </w:rPr>
            </w:pPr>
            <w:r>
              <w:rPr>
                <w:rFonts w:hint="eastAsia" w:ascii="Calibri" w:hAnsi="Calibri" w:eastAsia="仿宋" w:cs="仿宋"/>
                <w:color w:val="auto"/>
                <w:sz w:val="24"/>
                <w:szCs w:val="24"/>
              </w:rPr>
              <w:t>本项目不允许。</w:t>
            </w:r>
          </w:p>
        </w:tc>
        <w:tc>
          <w:tcPr>
            <w:tcW w:w="1842" w:type="dxa"/>
            <w:tcBorders>
              <w:top w:val="single" w:color="000000" w:sz="4" w:space="0"/>
              <w:left w:val="single" w:color="000000" w:sz="4" w:space="0"/>
              <w:bottom w:val="single" w:color="000000" w:sz="4" w:space="0"/>
              <w:right w:val="single" w:color="000000" w:sz="4" w:space="0"/>
            </w:tcBorders>
            <w:vAlign w:val="center"/>
          </w:tcPr>
          <w:p w14:paraId="7FDE88A4">
            <w:pPr>
              <w:widowControl/>
              <w:adjustRightInd w:val="0"/>
              <w:rPr>
                <w:color w:val="auto"/>
                <w:kern w:val="0"/>
                <w:sz w:val="24"/>
              </w:rPr>
            </w:pPr>
          </w:p>
        </w:tc>
      </w:tr>
      <w:tr w14:paraId="549D3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13496E4">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498D75B4">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52E9622A">
            <w:pPr>
              <w:adjustRightInd w:val="0"/>
              <w:snapToGrid w:val="0"/>
              <w:spacing w:line="300" w:lineRule="auto"/>
              <w:jc w:val="left"/>
              <w:rPr>
                <w:rFonts w:eastAsia="仿宋"/>
                <w:color w:val="auto"/>
                <w:kern w:val="0"/>
                <w:sz w:val="24"/>
              </w:rPr>
            </w:pPr>
            <w:r>
              <w:rPr>
                <w:rFonts w:hint="eastAsia" w:eastAsia="仿宋" w:cs="仿宋"/>
                <w:color w:val="auto"/>
                <w:kern w:val="0"/>
                <w:sz w:val="24"/>
                <w:lang w:bidi="ar"/>
              </w:rPr>
              <w:t>其他要求</w:t>
            </w:r>
          </w:p>
        </w:tc>
        <w:tc>
          <w:tcPr>
            <w:tcW w:w="4223" w:type="dxa"/>
            <w:tcBorders>
              <w:top w:val="single" w:color="000000" w:sz="4" w:space="0"/>
              <w:left w:val="single" w:color="000000" w:sz="4" w:space="0"/>
              <w:bottom w:val="single" w:color="000000" w:sz="4" w:space="0"/>
              <w:right w:val="single" w:color="000000" w:sz="4" w:space="0"/>
            </w:tcBorders>
            <w:vAlign w:val="center"/>
          </w:tcPr>
          <w:p w14:paraId="5E67D50D">
            <w:pPr>
              <w:pStyle w:val="21"/>
              <w:adjustRightInd w:val="0"/>
              <w:snapToGrid w:val="0"/>
              <w:spacing w:line="300" w:lineRule="auto"/>
              <w:rPr>
                <w:rFonts w:ascii="Calibri" w:hAnsi="Calibri" w:eastAsia="仿宋"/>
                <w:color w:val="auto"/>
                <w:sz w:val="24"/>
                <w:szCs w:val="24"/>
              </w:rPr>
            </w:pPr>
            <w:r>
              <w:rPr>
                <w:rFonts w:hint="eastAsia" w:ascii="Calibri" w:hAnsi="Calibri" w:eastAsia="仿宋" w:cs="仿宋"/>
                <w:color w:val="auto"/>
                <w:sz w:val="24"/>
                <w:szCs w:val="24"/>
              </w:rPr>
              <w:t>竞争性磋商文件其他实质性规定。</w:t>
            </w:r>
          </w:p>
        </w:tc>
        <w:tc>
          <w:tcPr>
            <w:tcW w:w="1842" w:type="dxa"/>
            <w:tcBorders>
              <w:top w:val="single" w:color="000000" w:sz="4" w:space="0"/>
              <w:left w:val="single" w:color="000000" w:sz="4" w:space="0"/>
              <w:bottom w:val="single" w:color="000000" w:sz="4" w:space="0"/>
              <w:right w:val="single" w:color="000000" w:sz="4" w:space="0"/>
            </w:tcBorders>
            <w:vAlign w:val="center"/>
          </w:tcPr>
          <w:p w14:paraId="50652DDC">
            <w:pPr>
              <w:widowControl/>
              <w:adjustRightInd w:val="0"/>
              <w:rPr>
                <w:color w:val="auto"/>
                <w:kern w:val="0"/>
                <w:sz w:val="24"/>
              </w:rPr>
            </w:pPr>
          </w:p>
        </w:tc>
      </w:tr>
      <w:tr w14:paraId="2F8B0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2F724A80">
            <w:pPr>
              <w:widowControl/>
              <w:jc w:val="center"/>
              <w:rPr>
                <w:color w:val="auto"/>
                <w:kern w:val="0"/>
                <w:sz w:val="24"/>
              </w:rPr>
            </w:pPr>
            <w:r>
              <w:rPr>
                <w:rFonts w:eastAsia="仿宋"/>
                <w:color w:val="auto"/>
                <w:kern w:val="0"/>
                <w:sz w:val="24"/>
                <w:lang w:bidi="ar"/>
              </w:rPr>
              <w:t>3.1.2</w:t>
            </w:r>
          </w:p>
        </w:tc>
        <w:tc>
          <w:tcPr>
            <w:tcW w:w="876" w:type="dxa"/>
            <w:vMerge w:val="restart"/>
            <w:tcBorders>
              <w:top w:val="single" w:color="000000" w:sz="4" w:space="0"/>
              <w:left w:val="single" w:color="000000" w:sz="4" w:space="0"/>
              <w:bottom w:val="single" w:color="000000" w:sz="4" w:space="0"/>
              <w:right w:val="single" w:color="000000" w:sz="4" w:space="0"/>
            </w:tcBorders>
            <w:vAlign w:val="center"/>
          </w:tcPr>
          <w:p w14:paraId="4EA0E039">
            <w:pPr>
              <w:widowControl/>
              <w:jc w:val="center"/>
              <w:rPr>
                <w:color w:val="auto"/>
                <w:kern w:val="0"/>
                <w:sz w:val="24"/>
              </w:rPr>
            </w:pPr>
            <w:r>
              <w:rPr>
                <w:rFonts w:hint="eastAsia" w:eastAsia="仿宋" w:cs="仿宋"/>
                <w:color w:val="auto"/>
                <w:kern w:val="0"/>
                <w:sz w:val="24"/>
                <w:lang w:bidi="ar"/>
              </w:rPr>
              <w:t>响应性评审</w:t>
            </w:r>
          </w:p>
        </w:tc>
        <w:tc>
          <w:tcPr>
            <w:tcW w:w="1842" w:type="dxa"/>
            <w:tcBorders>
              <w:top w:val="single" w:color="000000" w:sz="4" w:space="0"/>
              <w:left w:val="single" w:color="000000" w:sz="4" w:space="0"/>
              <w:bottom w:val="single" w:color="000000" w:sz="4" w:space="0"/>
              <w:right w:val="single" w:color="000000" w:sz="4" w:space="0"/>
            </w:tcBorders>
            <w:vAlign w:val="center"/>
          </w:tcPr>
          <w:p w14:paraId="0CC6CEBD">
            <w:pPr>
              <w:widowControl/>
              <w:rPr>
                <w:color w:val="auto"/>
                <w:kern w:val="0"/>
                <w:sz w:val="24"/>
              </w:rPr>
            </w:pPr>
            <w:r>
              <w:rPr>
                <w:rFonts w:hint="eastAsia" w:eastAsia="仿宋" w:cs="仿宋"/>
                <w:color w:val="auto"/>
                <w:kern w:val="0"/>
                <w:sz w:val="24"/>
                <w:lang w:bidi="ar"/>
              </w:rPr>
              <w:t>供应商响应内容</w:t>
            </w:r>
          </w:p>
        </w:tc>
        <w:tc>
          <w:tcPr>
            <w:tcW w:w="4223" w:type="dxa"/>
            <w:tcBorders>
              <w:top w:val="single" w:color="000000" w:sz="4" w:space="0"/>
              <w:left w:val="single" w:color="000000" w:sz="4" w:space="0"/>
              <w:bottom w:val="single" w:color="000000" w:sz="4" w:space="0"/>
              <w:right w:val="single" w:color="000000" w:sz="4" w:space="0"/>
            </w:tcBorders>
            <w:vAlign w:val="center"/>
          </w:tcPr>
          <w:p w14:paraId="41F5EEF1">
            <w:pPr>
              <w:widowControl/>
              <w:jc w:val="left"/>
              <w:rPr>
                <w:color w:val="auto"/>
                <w:kern w:val="0"/>
                <w:sz w:val="24"/>
              </w:rPr>
            </w:pPr>
            <w:r>
              <w:rPr>
                <w:rFonts w:hint="eastAsia" w:eastAsia="仿宋" w:cs="仿宋"/>
                <w:color w:val="auto"/>
                <w:kern w:val="0"/>
                <w:sz w:val="24"/>
                <w:lang w:bidi="ar"/>
              </w:rPr>
              <w:t>符合竞争性磋商文件要求</w:t>
            </w:r>
          </w:p>
        </w:tc>
        <w:tc>
          <w:tcPr>
            <w:tcW w:w="1842" w:type="dxa"/>
            <w:tcBorders>
              <w:top w:val="single" w:color="000000" w:sz="4" w:space="0"/>
              <w:left w:val="single" w:color="000000" w:sz="4" w:space="0"/>
              <w:bottom w:val="single" w:color="000000" w:sz="4" w:space="0"/>
              <w:right w:val="single" w:color="000000" w:sz="4" w:space="0"/>
            </w:tcBorders>
            <w:vAlign w:val="center"/>
          </w:tcPr>
          <w:p w14:paraId="12DC7BEE">
            <w:pPr>
              <w:widowControl/>
              <w:rPr>
                <w:color w:val="auto"/>
                <w:kern w:val="0"/>
                <w:sz w:val="24"/>
              </w:rPr>
            </w:pPr>
          </w:p>
        </w:tc>
      </w:tr>
      <w:tr w14:paraId="03A8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04A1832F">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433245E4">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AB00EEC">
            <w:pPr>
              <w:widowControl/>
              <w:rPr>
                <w:color w:val="auto"/>
                <w:kern w:val="0"/>
                <w:sz w:val="24"/>
              </w:rPr>
            </w:pPr>
            <w:r>
              <w:rPr>
                <w:rFonts w:hint="eastAsia" w:eastAsia="仿宋" w:cs="仿宋"/>
                <w:color w:val="auto"/>
                <w:kern w:val="0"/>
                <w:sz w:val="24"/>
                <w:lang w:bidi="ar"/>
              </w:rPr>
              <w:t>响应文件有效期</w:t>
            </w:r>
          </w:p>
        </w:tc>
        <w:tc>
          <w:tcPr>
            <w:tcW w:w="4223" w:type="dxa"/>
            <w:tcBorders>
              <w:top w:val="single" w:color="000000" w:sz="4" w:space="0"/>
              <w:left w:val="single" w:color="000000" w:sz="4" w:space="0"/>
              <w:bottom w:val="single" w:color="000000" w:sz="4" w:space="0"/>
              <w:right w:val="single" w:color="000000" w:sz="4" w:space="0"/>
            </w:tcBorders>
            <w:vAlign w:val="center"/>
          </w:tcPr>
          <w:p w14:paraId="4F395E6F">
            <w:pPr>
              <w:widowControl/>
              <w:jc w:val="left"/>
              <w:rPr>
                <w:color w:val="auto"/>
                <w:kern w:val="0"/>
                <w:sz w:val="24"/>
              </w:rPr>
            </w:pPr>
            <w:r>
              <w:rPr>
                <w:rFonts w:hint="eastAsia" w:eastAsia="仿宋" w:cs="仿宋"/>
                <w:color w:val="auto"/>
                <w:kern w:val="0"/>
                <w:sz w:val="24"/>
                <w:lang w:bidi="ar"/>
              </w:rPr>
              <w:t>符合竞争性磋商文件要求</w:t>
            </w:r>
          </w:p>
        </w:tc>
        <w:tc>
          <w:tcPr>
            <w:tcW w:w="1842" w:type="dxa"/>
            <w:tcBorders>
              <w:top w:val="single" w:color="000000" w:sz="4" w:space="0"/>
              <w:left w:val="single" w:color="000000" w:sz="4" w:space="0"/>
              <w:bottom w:val="single" w:color="000000" w:sz="4" w:space="0"/>
              <w:right w:val="single" w:color="000000" w:sz="4" w:space="0"/>
            </w:tcBorders>
            <w:vAlign w:val="center"/>
          </w:tcPr>
          <w:p w14:paraId="66E894F9">
            <w:pPr>
              <w:widowControl/>
              <w:rPr>
                <w:color w:val="auto"/>
                <w:kern w:val="0"/>
                <w:sz w:val="24"/>
              </w:rPr>
            </w:pPr>
          </w:p>
        </w:tc>
      </w:tr>
      <w:tr w14:paraId="3792D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61221518">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739012BB">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92B880A">
            <w:pPr>
              <w:widowControl/>
              <w:rPr>
                <w:rFonts w:eastAsia="仿宋"/>
                <w:color w:val="auto"/>
                <w:kern w:val="0"/>
                <w:sz w:val="24"/>
              </w:rPr>
            </w:pPr>
            <w:r>
              <w:rPr>
                <w:rFonts w:hint="eastAsia" w:eastAsia="仿宋" w:cs="仿宋"/>
                <w:color w:val="auto"/>
                <w:kern w:val="0"/>
                <w:sz w:val="24"/>
                <w:lang w:bidi="ar"/>
              </w:rPr>
              <w:t>服务期限</w:t>
            </w:r>
          </w:p>
        </w:tc>
        <w:tc>
          <w:tcPr>
            <w:tcW w:w="4223" w:type="dxa"/>
            <w:tcBorders>
              <w:top w:val="single" w:color="000000" w:sz="4" w:space="0"/>
              <w:left w:val="single" w:color="000000" w:sz="4" w:space="0"/>
              <w:bottom w:val="single" w:color="000000" w:sz="4" w:space="0"/>
              <w:right w:val="single" w:color="000000" w:sz="4" w:space="0"/>
            </w:tcBorders>
            <w:vAlign w:val="center"/>
          </w:tcPr>
          <w:p w14:paraId="160EEE6F">
            <w:pPr>
              <w:widowControl/>
              <w:rPr>
                <w:rFonts w:eastAsia="仿宋"/>
                <w:color w:val="auto"/>
                <w:kern w:val="0"/>
                <w:sz w:val="24"/>
              </w:rPr>
            </w:pPr>
            <w:r>
              <w:rPr>
                <w:rFonts w:hint="eastAsia" w:eastAsia="仿宋" w:cs="仿宋"/>
                <w:color w:val="auto"/>
                <w:kern w:val="0"/>
                <w:sz w:val="24"/>
                <w:lang w:bidi="ar"/>
              </w:rPr>
              <w:t>符合竞争性磋商文件要求。</w:t>
            </w:r>
          </w:p>
        </w:tc>
        <w:tc>
          <w:tcPr>
            <w:tcW w:w="1842" w:type="dxa"/>
            <w:tcBorders>
              <w:top w:val="single" w:color="000000" w:sz="4" w:space="0"/>
              <w:left w:val="single" w:color="000000" w:sz="4" w:space="0"/>
              <w:bottom w:val="single" w:color="000000" w:sz="4" w:space="0"/>
              <w:right w:val="single" w:color="000000" w:sz="4" w:space="0"/>
            </w:tcBorders>
            <w:vAlign w:val="center"/>
          </w:tcPr>
          <w:p w14:paraId="55DDC31B">
            <w:pPr>
              <w:widowControl/>
              <w:rPr>
                <w:color w:val="auto"/>
                <w:kern w:val="0"/>
                <w:sz w:val="24"/>
              </w:rPr>
            </w:pPr>
          </w:p>
        </w:tc>
      </w:tr>
      <w:tr w14:paraId="0F6B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177AEE84">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621D0715">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0EA59543">
            <w:pPr>
              <w:widowControl/>
              <w:rPr>
                <w:rFonts w:eastAsia="仿宋"/>
                <w:color w:val="auto"/>
                <w:kern w:val="0"/>
                <w:sz w:val="24"/>
              </w:rPr>
            </w:pPr>
            <w:r>
              <w:rPr>
                <w:rFonts w:hint="eastAsia" w:eastAsia="仿宋" w:cs="仿宋"/>
                <w:color w:val="auto"/>
                <w:kern w:val="0"/>
                <w:sz w:val="24"/>
                <w:lang w:bidi="ar"/>
              </w:rPr>
              <w:t>质量要求</w:t>
            </w:r>
          </w:p>
        </w:tc>
        <w:tc>
          <w:tcPr>
            <w:tcW w:w="4223" w:type="dxa"/>
            <w:tcBorders>
              <w:top w:val="single" w:color="000000" w:sz="4" w:space="0"/>
              <w:left w:val="single" w:color="000000" w:sz="4" w:space="0"/>
              <w:bottom w:val="single" w:color="000000" w:sz="4" w:space="0"/>
              <w:right w:val="single" w:color="000000" w:sz="4" w:space="0"/>
            </w:tcBorders>
            <w:vAlign w:val="center"/>
          </w:tcPr>
          <w:p w14:paraId="015BDCA6">
            <w:pPr>
              <w:widowControl/>
              <w:rPr>
                <w:rFonts w:eastAsia="仿宋"/>
                <w:color w:val="auto"/>
                <w:kern w:val="0"/>
                <w:sz w:val="24"/>
              </w:rPr>
            </w:pPr>
            <w:r>
              <w:rPr>
                <w:rFonts w:hint="eastAsia" w:eastAsia="仿宋" w:cs="仿宋"/>
                <w:color w:val="auto"/>
                <w:kern w:val="0"/>
                <w:sz w:val="24"/>
                <w:lang w:bidi="ar"/>
              </w:rPr>
              <w:t>符合竞争性磋商文件要求。</w:t>
            </w:r>
          </w:p>
        </w:tc>
        <w:tc>
          <w:tcPr>
            <w:tcW w:w="1842" w:type="dxa"/>
            <w:tcBorders>
              <w:top w:val="single" w:color="000000" w:sz="4" w:space="0"/>
              <w:left w:val="single" w:color="000000" w:sz="4" w:space="0"/>
              <w:bottom w:val="single" w:color="000000" w:sz="4" w:space="0"/>
              <w:right w:val="single" w:color="000000" w:sz="4" w:space="0"/>
            </w:tcBorders>
            <w:vAlign w:val="center"/>
          </w:tcPr>
          <w:p w14:paraId="3C2C6D59">
            <w:pPr>
              <w:widowControl/>
              <w:rPr>
                <w:color w:val="auto"/>
                <w:kern w:val="0"/>
                <w:sz w:val="24"/>
              </w:rPr>
            </w:pPr>
          </w:p>
        </w:tc>
      </w:tr>
      <w:tr w14:paraId="15133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35A9D344">
            <w:pPr>
              <w:rPr>
                <w:rFonts w:ascii="Times New Roman" w:hAnsi="Times New Roman"/>
                <w:color w:val="auto"/>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vAlign w:val="center"/>
          </w:tcPr>
          <w:p w14:paraId="4F1AB4D7">
            <w:pPr>
              <w:rPr>
                <w:rFonts w:ascii="Times New Roman" w:hAnsi="Times New Roman"/>
                <w:color w:val="auto"/>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4E986D7A">
            <w:pPr>
              <w:widowControl/>
              <w:rPr>
                <w:rFonts w:eastAsia="仿宋"/>
                <w:color w:val="auto"/>
                <w:kern w:val="0"/>
                <w:sz w:val="24"/>
              </w:rPr>
            </w:pPr>
            <w:r>
              <w:rPr>
                <w:rFonts w:hint="eastAsia" w:eastAsia="仿宋" w:cs="仿宋"/>
                <w:color w:val="auto"/>
                <w:kern w:val="0"/>
                <w:sz w:val="24"/>
                <w:lang w:bidi="ar"/>
              </w:rPr>
              <w:t>其他要求</w:t>
            </w:r>
          </w:p>
        </w:tc>
        <w:tc>
          <w:tcPr>
            <w:tcW w:w="4223" w:type="dxa"/>
            <w:tcBorders>
              <w:top w:val="single" w:color="000000" w:sz="4" w:space="0"/>
              <w:left w:val="single" w:color="000000" w:sz="4" w:space="0"/>
              <w:bottom w:val="single" w:color="000000" w:sz="4" w:space="0"/>
              <w:right w:val="single" w:color="000000" w:sz="4" w:space="0"/>
            </w:tcBorders>
            <w:vAlign w:val="center"/>
          </w:tcPr>
          <w:p w14:paraId="48ACC533">
            <w:pPr>
              <w:widowControl/>
              <w:rPr>
                <w:rFonts w:eastAsia="仿宋"/>
                <w:color w:val="auto"/>
                <w:kern w:val="0"/>
                <w:sz w:val="24"/>
              </w:rPr>
            </w:pPr>
            <w:r>
              <w:rPr>
                <w:rFonts w:hint="eastAsia" w:eastAsia="仿宋" w:cs="仿宋"/>
                <w:color w:val="auto"/>
                <w:kern w:val="0"/>
                <w:sz w:val="24"/>
                <w:lang w:bidi="ar"/>
              </w:rPr>
              <w:t>竞争性磋商文件其他实质性规定。</w:t>
            </w:r>
          </w:p>
        </w:tc>
        <w:tc>
          <w:tcPr>
            <w:tcW w:w="1842" w:type="dxa"/>
            <w:tcBorders>
              <w:top w:val="single" w:color="000000" w:sz="4" w:space="0"/>
              <w:left w:val="single" w:color="000000" w:sz="4" w:space="0"/>
              <w:bottom w:val="single" w:color="000000" w:sz="4" w:space="0"/>
              <w:right w:val="single" w:color="000000" w:sz="4" w:space="0"/>
            </w:tcBorders>
          </w:tcPr>
          <w:p w14:paraId="2716143D">
            <w:pPr>
              <w:widowControl/>
              <w:rPr>
                <w:color w:val="auto"/>
                <w:kern w:val="0"/>
                <w:sz w:val="24"/>
              </w:rPr>
            </w:pPr>
          </w:p>
        </w:tc>
      </w:tr>
    </w:tbl>
    <w:p w14:paraId="1C81E693">
      <w:pPr>
        <w:pStyle w:val="20"/>
        <w:adjustRightInd w:val="0"/>
        <w:snapToGrid w:val="0"/>
        <w:spacing w:before="0" w:line="360" w:lineRule="auto"/>
        <w:ind w:firstLine="482" w:firstLineChars="200"/>
        <w:rPr>
          <w:rFonts w:ascii="Calibri" w:hAnsi="Calibri"/>
          <w:b/>
          <w:color w:val="auto"/>
          <w:sz w:val="24"/>
          <w:szCs w:val="24"/>
        </w:rPr>
      </w:pPr>
      <w:r>
        <w:rPr>
          <w:rFonts w:ascii="Calibri" w:hAnsi="Calibri" w:eastAsia="仿宋"/>
          <w:b/>
          <w:color w:val="auto"/>
          <w:sz w:val="24"/>
          <w:szCs w:val="24"/>
          <w:lang w:bidi="ar"/>
        </w:rPr>
        <w:br w:type="page"/>
      </w:r>
      <w:r>
        <w:rPr>
          <w:rFonts w:hint="eastAsia" w:ascii="Calibri" w:hAnsi="Calibri" w:eastAsia="仿宋"/>
          <w:b/>
          <w:color w:val="auto"/>
          <w:sz w:val="24"/>
          <w:szCs w:val="24"/>
        </w:rPr>
        <w:t>2</w:t>
      </w:r>
      <w:r>
        <w:rPr>
          <w:rFonts w:ascii="Calibri" w:hAnsi="Calibri" w:eastAsia="仿宋"/>
          <w:b/>
          <w:color w:val="auto"/>
          <w:sz w:val="24"/>
          <w:szCs w:val="24"/>
        </w:rPr>
        <w:t>.</w:t>
      </w:r>
      <w:r>
        <w:rPr>
          <w:rFonts w:hint="eastAsia" w:ascii="Calibri" w:hAnsi="Calibri" w:eastAsia="仿宋" w:cs="仿宋"/>
          <w:b/>
          <w:color w:val="auto"/>
          <w:sz w:val="24"/>
          <w:szCs w:val="24"/>
        </w:rPr>
        <w:t>详细评审标准</w:t>
      </w:r>
    </w:p>
    <w:tbl>
      <w:tblPr>
        <w:tblStyle w:val="14"/>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236"/>
        <w:gridCol w:w="6375"/>
        <w:gridCol w:w="926"/>
      </w:tblGrid>
      <w:tr w14:paraId="2978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Align w:val="center"/>
          </w:tcPr>
          <w:p w14:paraId="3E77559E">
            <w:pPr>
              <w:wordWrap w:val="0"/>
              <w:adjustRightInd w:val="0"/>
              <w:snapToGrid w:val="0"/>
              <w:spacing w:line="300" w:lineRule="auto"/>
              <w:jc w:val="center"/>
              <w:rPr>
                <w:rFonts w:hint="eastAsia" w:ascii="仿宋" w:hAnsi="仿宋" w:eastAsia="仿宋" w:cs="仿宋"/>
                <w:b/>
                <w:color w:val="auto"/>
                <w:sz w:val="24"/>
              </w:rPr>
            </w:pPr>
            <w:bookmarkStart w:id="502" w:name="_Toc455587098"/>
            <w:bookmarkStart w:id="503" w:name="_Toc466024565"/>
            <w:bookmarkStart w:id="504" w:name="_Toc455587282"/>
            <w:r>
              <w:rPr>
                <w:rFonts w:hint="eastAsia" w:ascii="仿宋" w:hAnsi="仿宋" w:eastAsia="仿宋" w:cs="仿宋"/>
                <w:b/>
                <w:color w:val="auto"/>
                <w:sz w:val="24"/>
              </w:rPr>
              <w:t>条款号</w:t>
            </w:r>
          </w:p>
        </w:tc>
        <w:tc>
          <w:tcPr>
            <w:tcW w:w="1236" w:type="dxa"/>
            <w:vAlign w:val="center"/>
          </w:tcPr>
          <w:p w14:paraId="031C5B6E">
            <w:pPr>
              <w:wordWrap w:val="0"/>
              <w:adjustRightInd w:val="0"/>
              <w:snapToGrid w:val="0"/>
              <w:spacing w:line="300" w:lineRule="auto"/>
              <w:jc w:val="center"/>
              <w:rPr>
                <w:rFonts w:hint="eastAsia" w:ascii="仿宋" w:hAnsi="仿宋" w:eastAsia="仿宋" w:cs="仿宋"/>
                <w:b/>
                <w:color w:val="auto"/>
                <w:sz w:val="24"/>
              </w:rPr>
            </w:pPr>
            <w:r>
              <w:rPr>
                <w:rFonts w:hint="eastAsia" w:ascii="仿宋" w:hAnsi="仿宋" w:eastAsia="仿宋" w:cs="仿宋"/>
                <w:b/>
                <w:color w:val="auto"/>
                <w:sz w:val="24"/>
              </w:rPr>
              <w:t>内容</w:t>
            </w:r>
          </w:p>
        </w:tc>
        <w:tc>
          <w:tcPr>
            <w:tcW w:w="6375" w:type="dxa"/>
            <w:vAlign w:val="center"/>
          </w:tcPr>
          <w:p w14:paraId="71EC33F2">
            <w:pPr>
              <w:wordWrap w:val="0"/>
              <w:adjustRightInd w:val="0"/>
              <w:snapToGrid w:val="0"/>
              <w:spacing w:line="300" w:lineRule="auto"/>
              <w:jc w:val="center"/>
              <w:rPr>
                <w:rFonts w:hint="eastAsia" w:ascii="仿宋" w:hAnsi="仿宋" w:eastAsia="仿宋" w:cs="仿宋"/>
                <w:b/>
                <w:color w:val="auto"/>
                <w:sz w:val="24"/>
              </w:rPr>
            </w:pPr>
            <w:r>
              <w:rPr>
                <w:rFonts w:hint="eastAsia" w:ascii="仿宋" w:hAnsi="仿宋" w:eastAsia="仿宋" w:cs="仿宋"/>
                <w:b/>
                <w:color w:val="auto"/>
                <w:sz w:val="24"/>
              </w:rPr>
              <w:t>编列内容</w:t>
            </w:r>
          </w:p>
        </w:tc>
        <w:tc>
          <w:tcPr>
            <w:tcW w:w="926" w:type="dxa"/>
            <w:vAlign w:val="center"/>
          </w:tcPr>
          <w:p w14:paraId="0D91B279">
            <w:pPr>
              <w:widowControl/>
              <w:wordWrap w:val="0"/>
              <w:adjustRightInd w:val="0"/>
              <w:snapToGrid w:val="0"/>
              <w:spacing w:line="300" w:lineRule="auto"/>
              <w:jc w:val="center"/>
              <w:rPr>
                <w:rFonts w:hint="eastAsia" w:ascii="仿宋" w:hAnsi="仿宋" w:eastAsia="仿宋" w:cs="仿宋"/>
                <w:b/>
                <w:color w:val="auto"/>
                <w:kern w:val="0"/>
                <w:sz w:val="24"/>
              </w:rPr>
            </w:pPr>
            <w:r>
              <w:rPr>
                <w:rFonts w:hint="eastAsia" w:ascii="仿宋" w:hAnsi="仿宋" w:eastAsia="仿宋" w:cs="仿宋"/>
                <w:b/>
                <w:color w:val="auto"/>
                <w:kern w:val="0"/>
                <w:sz w:val="24"/>
              </w:rPr>
              <w:t>备注</w:t>
            </w:r>
          </w:p>
        </w:tc>
      </w:tr>
      <w:tr w14:paraId="3903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86" w:type="dxa"/>
            <w:vAlign w:val="center"/>
          </w:tcPr>
          <w:p w14:paraId="0C9B6F92">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kern w:val="0"/>
                <w:sz w:val="24"/>
              </w:rPr>
              <w:t>2.2.1</w:t>
            </w:r>
          </w:p>
        </w:tc>
        <w:tc>
          <w:tcPr>
            <w:tcW w:w="1236" w:type="dxa"/>
            <w:vAlign w:val="center"/>
          </w:tcPr>
          <w:p w14:paraId="4213F6CD">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分值构成</w:t>
            </w:r>
          </w:p>
          <w:p w14:paraId="12EFEA3F">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(总分100分)</w:t>
            </w:r>
          </w:p>
        </w:tc>
        <w:tc>
          <w:tcPr>
            <w:tcW w:w="6375" w:type="dxa"/>
            <w:vAlign w:val="center"/>
          </w:tcPr>
          <w:p w14:paraId="18FA2936">
            <w:pPr>
              <w:wordWrap w:val="0"/>
              <w:adjustRightInd w:val="0"/>
              <w:snapToGrid w:val="0"/>
              <w:spacing w:line="300" w:lineRule="auto"/>
              <w:rPr>
                <w:rFonts w:hint="eastAsia" w:ascii="仿宋" w:hAnsi="仿宋" w:eastAsia="仿宋" w:cs="仿宋"/>
                <w:color w:val="auto"/>
                <w:sz w:val="24"/>
              </w:rPr>
            </w:pPr>
            <w:r>
              <w:rPr>
                <w:rFonts w:hint="eastAsia" w:ascii="仿宋" w:hAnsi="仿宋" w:eastAsia="仿宋" w:cs="仿宋"/>
                <w:color w:val="auto"/>
                <w:sz w:val="24"/>
              </w:rPr>
              <w:t>商务及技术部分：</w:t>
            </w:r>
            <w:r>
              <w:rPr>
                <w:rFonts w:hint="eastAsia" w:ascii="仿宋" w:hAnsi="仿宋" w:eastAsia="仿宋" w:cs="仿宋"/>
                <w:color w:val="auto"/>
                <w:sz w:val="24"/>
                <w:u w:val="single"/>
              </w:rPr>
              <w:t>80</w:t>
            </w:r>
            <w:r>
              <w:rPr>
                <w:rFonts w:hint="eastAsia" w:ascii="仿宋" w:hAnsi="仿宋" w:eastAsia="仿宋" w:cs="仿宋"/>
                <w:color w:val="auto"/>
                <w:sz w:val="24"/>
              </w:rPr>
              <w:t>分</w:t>
            </w:r>
          </w:p>
          <w:p w14:paraId="500BCA8B">
            <w:pPr>
              <w:wordWrap w:val="0"/>
              <w:adjustRightInd w:val="0"/>
              <w:snapToGrid w:val="0"/>
              <w:spacing w:line="300" w:lineRule="auto"/>
              <w:rPr>
                <w:rFonts w:hint="eastAsia" w:ascii="仿宋" w:hAnsi="仿宋" w:eastAsia="仿宋" w:cs="仿宋"/>
                <w:color w:val="auto"/>
                <w:sz w:val="24"/>
              </w:rPr>
            </w:pPr>
            <w:r>
              <w:rPr>
                <w:rFonts w:hint="eastAsia" w:ascii="仿宋" w:hAnsi="仿宋" w:eastAsia="仿宋" w:cs="仿宋"/>
                <w:color w:val="auto"/>
                <w:sz w:val="24"/>
              </w:rPr>
              <w:t>报价部分：</w:t>
            </w:r>
            <w:r>
              <w:rPr>
                <w:rFonts w:hint="eastAsia" w:ascii="仿宋" w:hAnsi="仿宋" w:eastAsia="仿宋" w:cs="仿宋"/>
                <w:color w:val="auto"/>
                <w:sz w:val="24"/>
                <w:u w:val="single"/>
              </w:rPr>
              <w:t>20</w:t>
            </w:r>
            <w:r>
              <w:rPr>
                <w:rFonts w:hint="eastAsia" w:ascii="仿宋" w:hAnsi="仿宋" w:eastAsia="仿宋" w:cs="仿宋"/>
                <w:color w:val="auto"/>
                <w:sz w:val="24"/>
              </w:rPr>
              <w:t>分</w:t>
            </w:r>
          </w:p>
        </w:tc>
        <w:tc>
          <w:tcPr>
            <w:tcW w:w="926" w:type="dxa"/>
            <w:vAlign w:val="center"/>
          </w:tcPr>
          <w:p w14:paraId="6F660CBC">
            <w:pPr>
              <w:widowControl/>
              <w:wordWrap w:val="0"/>
              <w:adjustRightInd w:val="0"/>
              <w:snapToGrid w:val="0"/>
              <w:spacing w:line="300" w:lineRule="auto"/>
              <w:jc w:val="center"/>
              <w:rPr>
                <w:rFonts w:hint="eastAsia" w:ascii="仿宋" w:hAnsi="仿宋" w:eastAsia="仿宋" w:cs="仿宋"/>
                <w:color w:val="auto"/>
                <w:kern w:val="0"/>
                <w:sz w:val="24"/>
              </w:rPr>
            </w:pPr>
          </w:p>
        </w:tc>
      </w:tr>
      <w:tr w14:paraId="6B36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886" w:type="dxa"/>
            <w:vAlign w:val="center"/>
          </w:tcPr>
          <w:p w14:paraId="57FD03CB">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kern w:val="0"/>
                <w:sz w:val="24"/>
              </w:rPr>
              <w:t>2.2.2</w:t>
            </w:r>
          </w:p>
        </w:tc>
        <w:tc>
          <w:tcPr>
            <w:tcW w:w="1236" w:type="dxa"/>
            <w:vAlign w:val="center"/>
          </w:tcPr>
          <w:p w14:paraId="2087734A">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响应报价得分计算方法</w:t>
            </w:r>
          </w:p>
        </w:tc>
        <w:tc>
          <w:tcPr>
            <w:tcW w:w="6375" w:type="dxa"/>
            <w:vAlign w:val="center"/>
          </w:tcPr>
          <w:p w14:paraId="075EB0FB">
            <w:pPr>
              <w:widowControl/>
              <w:wordWrap w:val="0"/>
              <w:adjustRightInd w:val="0"/>
              <w:snapToGrid w:val="0"/>
              <w:spacing w:line="300" w:lineRule="auto"/>
              <w:rPr>
                <w:rFonts w:hint="eastAsia" w:ascii="仿宋" w:hAnsi="仿宋" w:eastAsia="仿宋" w:cs="仿宋"/>
                <w:color w:val="auto"/>
                <w:sz w:val="24"/>
              </w:rPr>
            </w:pPr>
            <w:r>
              <w:rPr>
                <w:rFonts w:hint="eastAsia" w:ascii="仿宋" w:hAnsi="仿宋" w:eastAsia="仿宋" w:cs="仿宋"/>
                <w:color w:val="auto"/>
                <w:sz w:val="24"/>
              </w:rPr>
              <w:t>响应报价不得超过最高限价，否则作无效响应处理；通过初步评审的响应报价参与报价评审。</w:t>
            </w:r>
          </w:p>
          <w:p w14:paraId="56B85184">
            <w:pPr>
              <w:widowControl/>
              <w:wordWrap w:val="0"/>
              <w:adjustRightInd w:val="0"/>
              <w:snapToGrid w:val="0"/>
              <w:spacing w:line="300" w:lineRule="auto"/>
              <w:rPr>
                <w:rFonts w:hint="eastAsia" w:ascii="仿宋" w:hAnsi="仿宋" w:eastAsia="仿宋" w:cs="仿宋"/>
                <w:color w:val="auto"/>
                <w:sz w:val="24"/>
              </w:rPr>
            </w:pPr>
            <w:r>
              <w:rPr>
                <w:rFonts w:hint="eastAsia" w:ascii="仿宋" w:hAnsi="仿宋" w:eastAsia="仿宋" w:cs="仿宋"/>
                <w:color w:val="auto"/>
                <w:sz w:val="24"/>
              </w:rPr>
              <w:t>满足磋商文件要求且报价最低的为响应基准价，其价格分为满分，其他响应报价得分统一按照下列公式计算：响应报价得分=（基准价/响应报价）×20分。</w:t>
            </w:r>
          </w:p>
        </w:tc>
        <w:tc>
          <w:tcPr>
            <w:tcW w:w="926" w:type="dxa"/>
            <w:vAlign w:val="center"/>
          </w:tcPr>
          <w:p w14:paraId="781C27F7">
            <w:pPr>
              <w:wordWrap w:val="0"/>
              <w:adjustRightInd w:val="0"/>
              <w:snapToGrid w:val="0"/>
              <w:spacing w:line="300" w:lineRule="auto"/>
              <w:jc w:val="center"/>
              <w:rPr>
                <w:rFonts w:hint="eastAsia" w:ascii="仿宋" w:hAnsi="仿宋" w:eastAsia="仿宋" w:cs="仿宋"/>
                <w:color w:val="auto"/>
                <w:sz w:val="24"/>
              </w:rPr>
            </w:pPr>
          </w:p>
        </w:tc>
      </w:tr>
      <w:tr w14:paraId="4FBA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86" w:type="dxa"/>
            <w:vAlign w:val="center"/>
          </w:tcPr>
          <w:p w14:paraId="17A804AD">
            <w:pPr>
              <w:wordWrap w:val="0"/>
              <w:adjustRightInd w:val="0"/>
              <w:snapToGrid w:val="0"/>
              <w:spacing w:line="30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2.2.3</w:t>
            </w:r>
          </w:p>
        </w:tc>
        <w:tc>
          <w:tcPr>
            <w:tcW w:w="8537" w:type="dxa"/>
            <w:gridSpan w:val="3"/>
            <w:vAlign w:val="center"/>
          </w:tcPr>
          <w:p w14:paraId="23C82183">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评分标准</w:t>
            </w:r>
          </w:p>
        </w:tc>
      </w:tr>
      <w:tr w14:paraId="0C43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Align w:val="center"/>
          </w:tcPr>
          <w:p w14:paraId="3E4395CD">
            <w:pPr>
              <w:wordWrap w:val="0"/>
              <w:adjustRightInd w:val="0"/>
              <w:snapToGrid w:val="0"/>
              <w:spacing w:line="300" w:lineRule="auto"/>
              <w:jc w:val="center"/>
              <w:rPr>
                <w:rFonts w:hint="eastAsia" w:ascii="仿宋" w:hAnsi="仿宋" w:eastAsia="仿宋" w:cs="仿宋"/>
                <w:b/>
                <w:color w:val="auto"/>
                <w:sz w:val="24"/>
              </w:rPr>
            </w:pPr>
            <w:r>
              <w:rPr>
                <w:rFonts w:hint="eastAsia" w:ascii="仿宋" w:hAnsi="仿宋" w:eastAsia="仿宋" w:cs="仿宋"/>
                <w:b/>
                <w:color w:val="auto"/>
                <w:sz w:val="24"/>
              </w:rPr>
              <w:t>类别</w:t>
            </w:r>
          </w:p>
        </w:tc>
        <w:tc>
          <w:tcPr>
            <w:tcW w:w="1236" w:type="dxa"/>
            <w:vAlign w:val="center"/>
          </w:tcPr>
          <w:p w14:paraId="41D69CE9">
            <w:pPr>
              <w:wordWrap w:val="0"/>
              <w:adjustRightInd w:val="0"/>
              <w:snapToGrid w:val="0"/>
              <w:spacing w:line="300" w:lineRule="auto"/>
              <w:jc w:val="center"/>
              <w:rPr>
                <w:rFonts w:hint="eastAsia" w:ascii="仿宋" w:hAnsi="仿宋" w:eastAsia="仿宋" w:cs="仿宋"/>
                <w:b/>
                <w:color w:val="auto"/>
                <w:sz w:val="24"/>
              </w:rPr>
            </w:pPr>
            <w:r>
              <w:rPr>
                <w:rFonts w:hint="eastAsia" w:ascii="仿宋" w:hAnsi="仿宋" w:eastAsia="仿宋" w:cs="仿宋"/>
                <w:b/>
                <w:color w:val="auto"/>
                <w:sz w:val="24"/>
              </w:rPr>
              <w:t>内容</w:t>
            </w:r>
          </w:p>
        </w:tc>
        <w:tc>
          <w:tcPr>
            <w:tcW w:w="6375" w:type="dxa"/>
            <w:vAlign w:val="center"/>
          </w:tcPr>
          <w:p w14:paraId="614E5C67">
            <w:pPr>
              <w:wordWrap w:val="0"/>
              <w:adjustRightInd w:val="0"/>
              <w:snapToGrid w:val="0"/>
              <w:spacing w:line="300" w:lineRule="auto"/>
              <w:jc w:val="center"/>
              <w:rPr>
                <w:rFonts w:hint="eastAsia" w:ascii="仿宋" w:hAnsi="仿宋" w:eastAsia="仿宋" w:cs="仿宋"/>
                <w:b/>
                <w:color w:val="auto"/>
                <w:sz w:val="24"/>
              </w:rPr>
            </w:pPr>
            <w:r>
              <w:rPr>
                <w:rFonts w:hint="eastAsia" w:ascii="仿宋" w:hAnsi="仿宋" w:eastAsia="仿宋" w:cs="仿宋"/>
                <w:b/>
                <w:color w:val="auto"/>
                <w:sz w:val="24"/>
              </w:rPr>
              <w:t>编列内容</w:t>
            </w:r>
          </w:p>
        </w:tc>
        <w:tc>
          <w:tcPr>
            <w:tcW w:w="926" w:type="dxa"/>
            <w:vAlign w:val="center"/>
          </w:tcPr>
          <w:p w14:paraId="163BB962">
            <w:pPr>
              <w:widowControl/>
              <w:wordWrap w:val="0"/>
              <w:adjustRightInd w:val="0"/>
              <w:snapToGrid w:val="0"/>
              <w:spacing w:line="300" w:lineRule="auto"/>
              <w:jc w:val="center"/>
              <w:rPr>
                <w:rFonts w:hint="eastAsia" w:ascii="仿宋" w:hAnsi="仿宋" w:eastAsia="仿宋" w:cs="仿宋"/>
                <w:b/>
                <w:color w:val="auto"/>
                <w:kern w:val="0"/>
                <w:sz w:val="24"/>
              </w:rPr>
            </w:pPr>
            <w:r>
              <w:rPr>
                <w:rFonts w:hint="eastAsia" w:ascii="仿宋" w:hAnsi="仿宋" w:eastAsia="仿宋" w:cs="仿宋"/>
                <w:b/>
                <w:color w:val="auto"/>
                <w:kern w:val="0"/>
                <w:sz w:val="24"/>
              </w:rPr>
              <w:t>分值</w:t>
            </w:r>
          </w:p>
        </w:tc>
      </w:tr>
      <w:tr w14:paraId="086E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vAlign w:val="center"/>
          </w:tcPr>
          <w:p w14:paraId="16E657AF">
            <w:pPr>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商务及技术部分</w:t>
            </w:r>
          </w:p>
        </w:tc>
        <w:tc>
          <w:tcPr>
            <w:tcW w:w="1236" w:type="dxa"/>
            <w:vAlign w:val="center"/>
          </w:tcPr>
          <w:p w14:paraId="1DBE910B">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供应商类似业绩</w:t>
            </w:r>
          </w:p>
        </w:tc>
        <w:tc>
          <w:tcPr>
            <w:tcW w:w="6375" w:type="dxa"/>
            <w:vAlign w:val="center"/>
          </w:tcPr>
          <w:p w14:paraId="4E939AF6">
            <w:pPr>
              <w:pStyle w:val="22"/>
              <w:rPr>
                <w:rFonts w:ascii="仿宋" w:hAnsi="仿宋" w:eastAsia="仿宋" w:cs="仿宋"/>
                <w:color w:val="auto"/>
                <w:kern w:val="2"/>
              </w:rPr>
            </w:pPr>
            <w:r>
              <w:rPr>
                <w:rFonts w:ascii="仿宋" w:hAnsi="仿宋" w:eastAsia="仿宋" w:cs="仿宋"/>
                <w:color w:val="auto"/>
                <w:kern w:val="2"/>
              </w:rPr>
              <w:t>1、自2023年1月1日以来，供应商每提供一个检验检测机构资质认定（</w:t>
            </w:r>
            <w:r>
              <w:rPr>
                <w:rFonts w:hint="default" w:ascii="仿宋" w:hAnsi="仿宋" w:eastAsia="仿宋" w:cs="仿宋"/>
                <w:color w:val="auto"/>
                <w:kern w:val="2"/>
              </w:rPr>
              <w:t>CMA)</w:t>
            </w:r>
            <w:r>
              <w:rPr>
                <w:rFonts w:ascii="仿宋" w:hAnsi="仿宋" w:eastAsia="仿宋" w:cs="仿宋"/>
                <w:color w:val="auto"/>
                <w:kern w:val="2"/>
              </w:rPr>
              <w:t>或实验室认可（</w:t>
            </w:r>
            <w:r>
              <w:rPr>
                <w:rFonts w:hint="default" w:ascii="仿宋" w:hAnsi="仿宋" w:eastAsia="仿宋" w:cs="仿宋"/>
                <w:color w:val="auto"/>
                <w:kern w:val="2"/>
              </w:rPr>
              <w:t>CNAS</w:t>
            </w:r>
            <w:r>
              <w:rPr>
                <w:rFonts w:ascii="仿宋" w:hAnsi="仿宋" w:eastAsia="仿宋" w:cs="仿宋"/>
                <w:color w:val="auto"/>
                <w:kern w:val="2"/>
              </w:rPr>
              <w:t>）咨询服务业绩的得5分，本项满分10分。</w:t>
            </w:r>
          </w:p>
          <w:p w14:paraId="085F4524">
            <w:pPr>
              <w:pStyle w:val="22"/>
              <w:rPr>
                <w:rFonts w:ascii="仿宋" w:hAnsi="仿宋" w:eastAsia="仿宋" w:cs="仿宋"/>
                <w:color w:val="auto"/>
                <w:kern w:val="2"/>
              </w:rPr>
            </w:pPr>
            <w:r>
              <w:rPr>
                <w:rFonts w:ascii="仿宋" w:hAnsi="仿宋" w:eastAsia="仿宋" w:cs="仿宋"/>
                <w:color w:val="auto"/>
                <w:kern w:val="2"/>
              </w:rPr>
              <w:t>2、自2023年1月1日以来，供应商每提供一个检验检测资质认定（CMA）或实验室认可（CNAS）相关培训业绩的得2分，本项满分10分</w:t>
            </w:r>
          </w:p>
          <w:p w14:paraId="4E857051">
            <w:pPr>
              <w:pStyle w:val="22"/>
              <w:rPr>
                <w:rFonts w:ascii="仿宋" w:hAnsi="仿宋" w:eastAsia="仿宋" w:cs="仿宋"/>
                <w:color w:val="auto"/>
                <w:kern w:val="2"/>
              </w:rPr>
            </w:pPr>
            <w:r>
              <w:rPr>
                <w:rFonts w:ascii="仿宋" w:hAnsi="仿宋" w:eastAsia="仿宋" w:cs="仿宋"/>
                <w:color w:val="auto"/>
                <w:kern w:val="2"/>
              </w:rPr>
              <w:t>注：（1）咨询业绩提供服务合同扫描件；</w:t>
            </w:r>
          </w:p>
          <w:p w14:paraId="0FACA430">
            <w:pPr>
              <w:pStyle w:val="22"/>
              <w:rPr>
                <w:rFonts w:ascii="仿宋" w:hAnsi="仿宋" w:eastAsia="仿宋" w:cs="仿宋"/>
                <w:color w:val="auto"/>
              </w:rPr>
            </w:pPr>
            <w:r>
              <w:rPr>
                <w:rFonts w:ascii="仿宋" w:hAnsi="仿宋" w:eastAsia="仿宋" w:cs="仿宋"/>
                <w:color w:val="auto"/>
                <w:kern w:val="2"/>
              </w:rPr>
              <w:t>（2）培训业绩提供合同或文件扫描件。</w:t>
            </w:r>
          </w:p>
        </w:tc>
        <w:tc>
          <w:tcPr>
            <w:tcW w:w="926" w:type="dxa"/>
            <w:vAlign w:val="center"/>
          </w:tcPr>
          <w:p w14:paraId="6D239097">
            <w:pPr>
              <w:wordWrap w:val="0"/>
              <w:adjustRightInd w:val="0"/>
              <w:snapToGrid w:val="0"/>
              <w:spacing w:line="300" w:lineRule="auto"/>
              <w:jc w:val="center"/>
              <w:rPr>
                <w:rFonts w:hint="eastAsia" w:ascii="仿宋" w:hAnsi="仿宋" w:eastAsia="仿宋" w:cs="仿宋"/>
                <w:color w:val="auto"/>
                <w:kern w:val="0"/>
                <w:sz w:val="24"/>
              </w:rPr>
            </w:pPr>
            <w:r>
              <w:rPr>
                <w:rFonts w:hint="eastAsia" w:ascii="仿宋" w:hAnsi="仿宋" w:eastAsia="仿宋" w:cs="仿宋"/>
                <w:bCs/>
                <w:color w:val="auto"/>
                <w:sz w:val="24"/>
              </w:rPr>
              <w:t>0-20分</w:t>
            </w:r>
          </w:p>
        </w:tc>
      </w:tr>
      <w:tr w14:paraId="344C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vAlign w:val="center"/>
          </w:tcPr>
          <w:p w14:paraId="679147F4">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4B8258C5">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服务团队配置</w:t>
            </w:r>
          </w:p>
        </w:tc>
        <w:tc>
          <w:tcPr>
            <w:tcW w:w="6375" w:type="dxa"/>
            <w:vAlign w:val="center"/>
          </w:tcPr>
          <w:p w14:paraId="62946471">
            <w:pPr>
              <w:pStyle w:val="22"/>
              <w:rPr>
                <w:rFonts w:ascii="仿宋" w:hAnsi="仿宋" w:eastAsia="仿宋" w:cs="仿宋"/>
                <w:color w:val="auto"/>
                <w:kern w:val="2"/>
              </w:rPr>
            </w:pPr>
            <w:r>
              <w:rPr>
                <w:rFonts w:ascii="仿宋" w:hAnsi="仿宋" w:eastAsia="仿宋" w:cs="仿宋"/>
                <w:color w:val="auto"/>
                <w:kern w:val="2"/>
              </w:rPr>
              <w:t>供应商拟为本项目配备的人员：</w:t>
            </w:r>
          </w:p>
          <w:p w14:paraId="49D1E62F">
            <w:pPr>
              <w:pStyle w:val="22"/>
              <w:numPr>
                <w:ilvl w:val="0"/>
                <w:numId w:val="2"/>
              </w:numPr>
              <w:rPr>
                <w:rFonts w:ascii="仿宋" w:hAnsi="仿宋" w:eastAsia="仿宋" w:cs="仿宋"/>
                <w:color w:val="auto"/>
                <w:kern w:val="2"/>
              </w:rPr>
            </w:pPr>
            <w:r>
              <w:rPr>
                <w:rFonts w:ascii="仿宋" w:hAnsi="仿宋" w:eastAsia="仿宋" w:cs="仿宋"/>
                <w:color w:val="auto"/>
                <w:kern w:val="2"/>
              </w:rPr>
              <w:t>项目负责人（满分7分）：</w:t>
            </w:r>
          </w:p>
          <w:p w14:paraId="68EB22FB">
            <w:pPr>
              <w:pStyle w:val="22"/>
              <w:rPr>
                <w:rFonts w:ascii="仿宋" w:hAnsi="仿宋" w:eastAsia="仿宋" w:cs="仿宋"/>
                <w:color w:val="auto"/>
                <w:kern w:val="2"/>
              </w:rPr>
            </w:pPr>
            <w:r>
              <w:rPr>
                <w:rFonts w:ascii="仿宋" w:hAnsi="仿宋" w:eastAsia="仿宋" w:cs="仿宋"/>
                <w:color w:val="auto"/>
                <w:kern w:val="2"/>
              </w:rPr>
              <w:t>（1）项目负责人具有高级及以上技术职称的，得4分；未提供或不符合要求，得0分；</w:t>
            </w:r>
          </w:p>
          <w:p w14:paraId="3FFBB9A8">
            <w:pPr>
              <w:pStyle w:val="22"/>
              <w:rPr>
                <w:rFonts w:ascii="仿宋" w:hAnsi="仿宋" w:eastAsia="仿宋" w:cs="仿宋"/>
                <w:color w:val="auto"/>
                <w:kern w:val="2"/>
              </w:rPr>
            </w:pPr>
            <w:r>
              <w:rPr>
                <w:rFonts w:ascii="仿宋" w:hAnsi="仿宋" w:eastAsia="仿宋" w:cs="仿宋"/>
                <w:color w:val="auto"/>
                <w:kern w:val="2"/>
              </w:rPr>
              <w:t>（2）项目负责人具有8年（含）以上检验检测领域工作经验，得3分；具有5年（含）至8年（不含）检验检测领域工作经验，得2分；未提供或不符合要求，得0分。</w:t>
            </w:r>
          </w:p>
          <w:p w14:paraId="71DE2BF3">
            <w:pPr>
              <w:pStyle w:val="22"/>
              <w:rPr>
                <w:rFonts w:ascii="仿宋" w:hAnsi="仿宋" w:eastAsia="仿宋" w:cs="仿宋"/>
                <w:color w:val="auto"/>
                <w:kern w:val="2"/>
              </w:rPr>
            </w:pPr>
            <w:r>
              <w:rPr>
                <w:rFonts w:ascii="仿宋" w:hAnsi="仿宋" w:eastAsia="仿宋" w:cs="仿宋"/>
                <w:color w:val="auto"/>
                <w:kern w:val="2"/>
              </w:rPr>
              <w:t>注：须提供在职证明、简历及相关证书复印件。</w:t>
            </w:r>
          </w:p>
          <w:p w14:paraId="7348EE81">
            <w:pPr>
              <w:pStyle w:val="22"/>
              <w:rPr>
                <w:rFonts w:ascii="仿宋" w:hAnsi="仿宋" w:eastAsia="仿宋" w:cs="仿宋"/>
                <w:color w:val="auto"/>
                <w:kern w:val="2"/>
              </w:rPr>
            </w:pPr>
            <w:r>
              <w:rPr>
                <w:rFonts w:ascii="仿宋" w:hAnsi="仿宋" w:eastAsia="仿宋" w:cs="仿宋"/>
                <w:color w:val="auto"/>
                <w:kern w:val="2"/>
              </w:rPr>
              <w:t>2、团队其他成员（除项目负责人外，满分4分）：团队成员每具有一位高级及以上技术职称人员的，得2分；每具有一位中级职称人员，得1分；累计最多得4分；未提供或不符合要求，得0分。</w:t>
            </w:r>
          </w:p>
          <w:p w14:paraId="4FF2B3FD">
            <w:pPr>
              <w:pStyle w:val="22"/>
              <w:rPr>
                <w:rFonts w:ascii="仿宋" w:hAnsi="仿宋" w:eastAsia="仿宋" w:cs="仿宋"/>
                <w:color w:val="auto"/>
                <w:kern w:val="2"/>
              </w:rPr>
            </w:pPr>
            <w:r>
              <w:rPr>
                <w:rFonts w:ascii="仿宋" w:hAnsi="仿宋" w:eastAsia="仿宋" w:cs="仿宋"/>
                <w:color w:val="auto"/>
                <w:kern w:val="2"/>
              </w:rPr>
              <w:t>3、团队人员学历（满分4分）：</w:t>
            </w:r>
          </w:p>
          <w:p w14:paraId="2CEFC4C2">
            <w:pPr>
              <w:pStyle w:val="22"/>
              <w:rPr>
                <w:rFonts w:ascii="仿宋" w:hAnsi="仿宋" w:eastAsia="仿宋" w:cs="仿宋"/>
                <w:color w:val="auto"/>
                <w:kern w:val="2"/>
              </w:rPr>
            </w:pPr>
            <w:r>
              <w:rPr>
                <w:rFonts w:ascii="仿宋" w:hAnsi="仿宋" w:eastAsia="仿宋" w:cs="仿宋"/>
                <w:color w:val="auto"/>
                <w:kern w:val="2"/>
              </w:rPr>
              <w:t>团队成员中具有硕士及以上学历的，每人得1分；本项满分4分。</w:t>
            </w:r>
          </w:p>
          <w:p w14:paraId="055C03C6">
            <w:pPr>
              <w:pStyle w:val="22"/>
              <w:rPr>
                <w:rFonts w:ascii="仿宋" w:hAnsi="仿宋" w:eastAsia="仿宋" w:cs="仿宋"/>
                <w:color w:val="auto"/>
                <w:kern w:val="2"/>
              </w:rPr>
            </w:pPr>
            <w:r>
              <w:rPr>
                <w:rFonts w:ascii="仿宋" w:hAnsi="仿宋" w:eastAsia="仿宋" w:cs="仿宋"/>
                <w:color w:val="auto"/>
                <w:kern w:val="2"/>
              </w:rPr>
              <w:t>注：（1）同一人员同时满足上述多项要求的，可累计计分；</w:t>
            </w:r>
          </w:p>
          <w:p w14:paraId="3609665F">
            <w:pPr>
              <w:pStyle w:val="22"/>
              <w:rPr>
                <w:rFonts w:ascii="仿宋" w:hAnsi="仿宋" w:eastAsia="仿宋" w:cs="仿宋"/>
                <w:color w:val="auto"/>
                <w:kern w:val="2"/>
              </w:rPr>
            </w:pPr>
            <w:r>
              <w:rPr>
                <w:rFonts w:ascii="仿宋" w:hAnsi="仿宋" w:eastAsia="仿宋" w:cs="仿宋"/>
                <w:color w:val="auto"/>
                <w:kern w:val="2"/>
              </w:rPr>
              <w:t>（2）响应文件中须同时提供：</w:t>
            </w:r>
          </w:p>
          <w:p w14:paraId="21A92122">
            <w:pPr>
              <w:pStyle w:val="22"/>
              <w:rPr>
                <w:rFonts w:ascii="仿宋" w:hAnsi="仿宋" w:eastAsia="仿宋" w:cs="仿宋"/>
                <w:color w:val="auto"/>
                <w:kern w:val="2"/>
              </w:rPr>
            </w:pPr>
            <w:r>
              <w:rPr>
                <w:rFonts w:ascii="仿宋" w:hAnsi="仿宋" w:eastAsia="仿宋" w:cs="仿宋"/>
                <w:color w:val="auto"/>
                <w:kern w:val="2"/>
              </w:rPr>
              <w:t>①服务团队人员名单（格式自拟）；</w:t>
            </w:r>
          </w:p>
          <w:p w14:paraId="7068C7ED">
            <w:pPr>
              <w:pStyle w:val="22"/>
              <w:rPr>
                <w:rFonts w:ascii="仿宋" w:hAnsi="仿宋" w:eastAsia="仿宋" w:cs="仿宋"/>
                <w:color w:val="auto"/>
                <w:kern w:val="2"/>
              </w:rPr>
            </w:pPr>
            <w:r>
              <w:rPr>
                <w:rFonts w:ascii="仿宋" w:hAnsi="仿宋" w:eastAsia="仿宋" w:cs="仿宋"/>
                <w:color w:val="auto"/>
                <w:kern w:val="2"/>
              </w:rPr>
              <w:t>②证书扫描件（涉及学历的，提供毕业证或学位证书扫描件）。</w:t>
            </w:r>
          </w:p>
          <w:p w14:paraId="7ECAC03C">
            <w:pPr>
              <w:pStyle w:val="22"/>
              <w:rPr>
                <w:rFonts w:ascii="仿宋" w:hAnsi="仿宋" w:eastAsia="仿宋" w:cs="仿宋"/>
                <w:color w:val="auto"/>
                <w:kern w:val="2"/>
              </w:rPr>
            </w:pPr>
            <w:r>
              <w:rPr>
                <w:rFonts w:ascii="仿宋" w:hAnsi="仿宋" w:eastAsia="仿宋" w:cs="仿宋"/>
                <w:color w:val="auto"/>
                <w:kern w:val="2"/>
              </w:rPr>
              <w:t>③供应商为上述人员缴纳的近3个月内（任意一个月）的社保证明材料。</w:t>
            </w:r>
          </w:p>
        </w:tc>
        <w:tc>
          <w:tcPr>
            <w:tcW w:w="926" w:type="dxa"/>
            <w:vAlign w:val="center"/>
          </w:tcPr>
          <w:p w14:paraId="433DC8CA">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0-15分</w:t>
            </w:r>
          </w:p>
        </w:tc>
      </w:tr>
      <w:tr w14:paraId="2374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vAlign w:val="center"/>
          </w:tcPr>
          <w:p w14:paraId="00332B01">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460578B0">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服务方案</w:t>
            </w:r>
          </w:p>
        </w:tc>
        <w:tc>
          <w:tcPr>
            <w:tcW w:w="6375" w:type="dxa"/>
            <w:vAlign w:val="center"/>
          </w:tcPr>
          <w:p w14:paraId="5AF3E209">
            <w:pPr>
              <w:pStyle w:val="22"/>
              <w:rPr>
                <w:rFonts w:ascii="仿宋" w:hAnsi="仿宋" w:eastAsia="仿宋" w:cs="仿宋"/>
                <w:color w:val="auto"/>
                <w:kern w:val="2"/>
              </w:rPr>
            </w:pPr>
            <w:r>
              <w:rPr>
                <w:rFonts w:ascii="仿宋" w:hAnsi="仿宋" w:eastAsia="仿宋" w:cs="仿宋"/>
                <w:color w:val="auto"/>
                <w:kern w:val="2"/>
              </w:rPr>
              <w:t>供应商针对本项目制定的服务方案，内容包括但不限于：①质量控制内容及措施；</w:t>
            </w:r>
            <w:r>
              <w:rPr>
                <w:rFonts w:hint="default" w:ascii="仿宋" w:hAnsi="仿宋" w:eastAsia="仿宋" w:cs="仿宋"/>
                <w:color w:val="auto"/>
                <w:kern w:val="2"/>
              </w:rPr>
              <w:t xml:space="preserve"> </w:t>
            </w:r>
            <w:r>
              <w:rPr>
                <w:rFonts w:ascii="仿宋" w:hAnsi="仿宋" w:eastAsia="仿宋" w:cs="仿宋"/>
                <w:color w:val="auto"/>
                <w:kern w:val="2"/>
              </w:rPr>
              <w:t>②项目进度控制方法及措施；</w:t>
            </w:r>
            <w:r>
              <w:rPr>
                <w:rFonts w:hint="default" w:ascii="仿宋" w:hAnsi="仿宋" w:eastAsia="仿宋" w:cs="仿宋"/>
                <w:color w:val="auto"/>
                <w:kern w:val="2"/>
              </w:rPr>
              <w:t xml:space="preserve"> </w:t>
            </w:r>
            <w:r>
              <w:rPr>
                <w:rFonts w:ascii="仿宋" w:hAnsi="仿宋" w:eastAsia="仿宋" w:cs="仿宋"/>
                <w:color w:val="auto"/>
                <w:kern w:val="2"/>
              </w:rPr>
              <w:t>③配合本项目实施计划等。完整、准确，严谨，完全满足项目要求得</w:t>
            </w:r>
            <w:r>
              <w:rPr>
                <w:rFonts w:hint="default" w:ascii="仿宋" w:hAnsi="仿宋" w:eastAsia="仿宋" w:cs="仿宋"/>
                <w:color w:val="auto"/>
                <w:kern w:val="2"/>
              </w:rPr>
              <w:t xml:space="preserve"> </w:t>
            </w:r>
            <w:r>
              <w:rPr>
                <w:rFonts w:ascii="仿宋" w:hAnsi="仿宋" w:eastAsia="仿宋" w:cs="仿宋"/>
                <w:color w:val="auto"/>
                <w:kern w:val="2"/>
              </w:rPr>
              <w:t>15</w:t>
            </w:r>
            <w:r>
              <w:rPr>
                <w:rFonts w:hint="default" w:ascii="仿宋" w:hAnsi="仿宋" w:eastAsia="仿宋" w:cs="仿宋"/>
                <w:color w:val="auto"/>
                <w:kern w:val="2"/>
              </w:rPr>
              <w:t xml:space="preserve"> </w:t>
            </w:r>
            <w:r>
              <w:rPr>
                <w:rFonts w:ascii="仿宋" w:hAnsi="仿宋" w:eastAsia="仿宋" w:cs="仿宋"/>
                <w:color w:val="auto"/>
                <w:kern w:val="2"/>
              </w:rPr>
              <w:t>分，其余酌情扣分。</w:t>
            </w:r>
          </w:p>
        </w:tc>
        <w:tc>
          <w:tcPr>
            <w:tcW w:w="926" w:type="dxa"/>
            <w:vAlign w:val="center"/>
          </w:tcPr>
          <w:p w14:paraId="59336349">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0-15分</w:t>
            </w:r>
          </w:p>
        </w:tc>
      </w:tr>
      <w:tr w14:paraId="48E2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vAlign w:val="center"/>
          </w:tcPr>
          <w:p w14:paraId="70ADAE71">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57B1EFAE">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重难点解决方案</w:t>
            </w:r>
          </w:p>
        </w:tc>
        <w:tc>
          <w:tcPr>
            <w:tcW w:w="6375" w:type="dxa"/>
            <w:vAlign w:val="center"/>
          </w:tcPr>
          <w:p w14:paraId="2CCE072E">
            <w:pPr>
              <w:pStyle w:val="22"/>
              <w:rPr>
                <w:rFonts w:ascii="仿宋" w:hAnsi="仿宋" w:eastAsia="仿宋" w:cs="仿宋"/>
                <w:color w:val="auto"/>
                <w:kern w:val="2"/>
              </w:rPr>
            </w:pPr>
            <w:r>
              <w:rPr>
                <w:rFonts w:ascii="仿宋" w:hAnsi="仿宋" w:eastAsia="仿宋" w:cs="仿宋"/>
                <w:color w:val="auto"/>
                <w:kern w:val="2"/>
              </w:rPr>
              <w:t>供应商结合采购需求，充分分析在服务过程中可能存在的难点，资质申报过程中存在的重难点等，针对提出的重难点给出解决措施，本项满分10分，其余酌情扣分。</w:t>
            </w:r>
          </w:p>
        </w:tc>
        <w:tc>
          <w:tcPr>
            <w:tcW w:w="926" w:type="dxa"/>
            <w:vAlign w:val="center"/>
          </w:tcPr>
          <w:p w14:paraId="4A7EC9D8">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0-10分</w:t>
            </w:r>
          </w:p>
        </w:tc>
      </w:tr>
      <w:tr w14:paraId="2E83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vAlign w:val="center"/>
          </w:tcPr>
          <w:p w14:paraId="6A1F5767">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56BC592A">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服务稳定性</w:t>
            </w:r>
          </w:p>
        </w:tc>
        <w:tc>
          <w:tcPr>
            <w:tcW w:w="6375" w:type="dxa"/>
            <w:vAlign w:val="center"/>
          </w:tcPr>
          <w:p w14:paraId="40067DB3">
            <w:pPr>
              <w:pStyle w:val="22"/>
              <w:rPr>
                <w:rFonts w:ascii="仿宋" w:hAnsi="仿宋" w:eastAsia="仿宋" w:cs="仿宋"/>
                <w:color w:val="auto"/>
                <w:kern w:val="2"/>
              </w:rPr>
            </w:pPr>
            <w:r>
              <w:rPr>
                <w:rFonts w:ascii="仿宋" w:hAnsi="仿宋" w:eastAsia="仿宋" w:cs="仿宋"/>
                <w:color w:val="auto"/>
                <w:kern w:val="2"/>
              </w:rPr>
              <w:t>提供“事前</w:t>
            </w:r>
            <w:r>
              <w:rPr>
                <w:rFonts w:hint="default" w:ascii="仿宋" w:hAnsi="仿宋" w:eastAsia="仿宋" w:cs="仿宋"/>
                <w:color w:val="auto"/>
                <w:kern w:val="2"/>
              </w:rPr>
              <w:t>-</w:t>
            </w:r>
            <w:r>
              <w:rPr>
                <w:rFonts w:ascii="仿宋" w:hAnsi="仿宋" w:eastAsia="仿宋" w:cs="仿宋"/>
                <w:color w:val="auto"/>
                <w:kern w:val="2"/>
              </w:rPr>
              <w:t>事中</w:t>
            </w:r>
            <w:r>
              <w:rPr>
                <w:rFonts w:hint="default" w:ascii="仿宋" w:hAnsi="仿宋" w:eastAsia="仿宋" w:cs="仿宋"/>
                <w:color w:val="auto"/>
                <w:kern w:val="2"/>
              </w:rPr>
              <w:t>-</w:t>
            </w:r>
            <w:r>
              <w:rPr>
                <w:rFonts w:ascii="仿宋" w:hAnsi="仿宋" w:eastAsia="仿宋" w:cs="仿宋"/>
                <w:color w:val="auto"/>
                <w:kern w:val="2"/>
              </w:rPr>
              <w:t>事后”全流程质量保证措施，措施全面细致且合理，可操作性强；不限于完整项目预期成果、完善的售后服务、成果质量审核机制、重大问题沟通协调机制等。合理、完善的得</w:t>
            </w:r>
            <w:r>
              <w:rPr>
                <w:rFonts w:hint="default" w:ascii="仿宋" w:hAnsi="仿宋" w:eastAsia="仿宋" w:cs="仿宋"/>
                <w:color w:val="auto"/>
                <w:kern w:val="2"/>
              </w:rPr>
              <w:t xml:space="preserve"> 5 </w:t>
            </w:r>
            <w:r>
              <w:rPr>
                <w:rFonts w:ascii="仿宋" w:hAnsi="仿宋" w:eastAsia="仿宋" w:cs="仿宋"/>
                <w:color w:val="auto"/>
                <w:kern w:val="2"/>
              </w:rPr>
              <w:t>分，其余酌情扣分。</w:t>
            </w:r>
          </w:p>
        </w:tc>
        <w:tc>
          <w:tcPr>
            <w:tcW w:w="926" w:type="dxa"/>
            <w:vAlign w:val="center"/>
          </w:tcPr>
          <w:p w14:paraId="541115F1">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0-5分</w:t>
            </w:r>
          </w:p>
        </w:tc>
      </w:tr>
      <w:tr w14:paraId="7042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86" w:type="dxa"/>
            <w:vMerge w:val="continue"/>
            <w:vAlign w:val="center"/>
          </w:tcPr>
          <w:p w14:paraId="2CA8C0E4">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222BD9DE">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人员保证措</w:t>
            </w:r>
          </w:p>
        </w:tc>
        <w:tc>
          <w:tcPr>
            <w:tcW w:w="6375" w:type="dxa"/>
            <w:vAlign w:val="center"/>
          </w:tcPr>
          <w:p w14:paraId="4840BB55">
            <w:pPr>
              <w:pStyle w:val="22"/>
              <w:rPr>
                <w:rFonts w:ascii="仿宋" w:hAnsi="仿宋" w:eastAsia="仿宋" w:cs="仿宋"/>
                <w:color w:val="auto"/>
                <w:kern w:val="2"/>
              </w:rPr>
            </w:pPr>
            <w:r>
              <w:rPr>
                <w:rFonts w:ascii="仿宋" w:hAnsi="仿宋" w:eastAsia="仿宋" w:cs="仿宋"/>
                <w:color w:val="auto"/>
                <w:kern w:val="2"/>
              </w:rPr>
              <w:t>针对项目配置相应人员且合理、能满足该项目管理需要。人员保证措施详细、专业合理，考虑周全的得</w:t>
            </w:r>
            <w:r>
              <w:rPr>
                <w:rFonts w:hint="default" w:ascii="仿宋" w:hAnsi="仿宋" w:eastAsia="仿宋" w:cs="仿宋"/>
                <w:color w:val="auto"/>
                <w:kern w:val="2"/>
              </w:rPr>
              <w:t xml:space="preserve"> </w:t>
            </w:r>
            <w:r>
              <w:rPr>
                <w:rFonts w:ascii="仿宋" w:hAnsi="仿宋" w:eastAsia="仿宋" w:cs="仿宋"/>
                <w:color w:val="auto"/>
                <w:kern w:val="2"/>
              </w:rPr>
              <w:t>5</w:t>
            </w:r>
            <w:r>
              <w:rPr>
                <w:rFonts w:hint="default" w:ascii="仿宋" w:hAnsi="仿宋" w:eastAsia="仿宋" w:cs="仿宋"/>
                <w:color w:val="auto"/>
                <w:kern w:val="2"/>
              </w:rPr>
              <w:t xml:space="preserve"> </w:t>
            </w:r>
            <w:r>
              <w:rPr>
                <w:rFonts w:ascii="仿宋" w:hAnsi="仿宋" w:eastAsia="仿宋" w:cs="仿宋"/>
                <w:color w:val="auto"/>
                <w:kern w:val="2"/>
              </w:rPr>
              <w:t>分，其余酌情扣分。</w:t>
            </w:r>
          </w:p>
        </w:tc>
        <w:tc>
          <w:tcPr>
            <w:tcW w:w="926" w:type="dxa"/>
            <w:vAlign w:val="center"/>
          </w:tcPr>
          <w:p w14:paraId="0EA7113B">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0-5分</w:t>
            </w:r>
          </w:p>
        </w:tc>
      </w:tr>
      <w:tr w14:paraId="05CB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86" w:type="dxa"/>
            <w:vMerge w:val="continue"/>
            <w:vAlign w:val="center"/>
          </w:tcPr>
          <w:p w14:paraId="4BF791F2">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1B3F0C33">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增值服务</w:t>
            </w:r>
          </w:p>
        </w:tc>
        <w:tc>
          <w:tcPr>
            <w:tcW w:w="6375" w:type="dxa"/>
            <w:vAlign w:val="center"/>
          </w:tcPr>
          <w:p w14:paraId="495DCEC5">
            <w:pPr>
              <w:pStyle w:val="22"/>
              <w:rPr>
                <w:rFonts w:ascii="仿宋" w:hAnsi="仿宋" w:eastAsia="仿宋" w:cs="仿宋"/>
                <w:color w:val="auto"/>
                <w:kern w:val="2"/>
              </w:rPr>
            </w:pPr>
            <w:r>
              <w:rPr>
                <w:rFonts w:ascii="仿宋" w:hAnsi="仿宋" w:eastAsia="仿宋" w:cs="仿宋"/>
                <w:color w:val="auto"/>
                <w:kern w:val="2"/>
              </w:rPr>
              <w:t>根据供应商提供采购需求外的其他增值服务的内容进行评审，本项满分5分，其余酌情扣分。</w:t>
            </w:r>
          </w:p>
        </w:tc>
        <w:tc>
          <w:tcPr>
            <w:tcW w:w="926" w:type="dxa"/>
            <w:vAlign w:val="center"/>
          </w:tcPr>
          <w:p w14:paraId="210B6E0E">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0-5分</w:t>
            </w:r>
          </w:p>
        </w:tc>
      </w:tr>
      <w:tr w14:paraId="02AD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86" w:type="dxa"/>
            <w:vMerge w:val="continue"/>
            <w:vAlign w:val="center"/>
          </w:tcPr>
          <w:p w14:paraId="187B4F6E">
            <w:pPr>
              <w:wordWrap w:val="0"/>
              <w:adjustRightInd w:val="0"/>
              <w:snapToGrid w:val="0"/>
              <w:spacing w:line="300" w:lineRule="auto"/>
              <w:jc w:val="center"/>
              <w:rPr>
                <w:rFonts w:hint="eastAsia" w:ascii="仿宋" w:hAnsi="仿宋" w:eastAsia="仿宋" w:cs="仿宋"/>
                <w:color w:val="auto"/>
                <w:sz w:val="24"/>
              </w:rPr>
            </w:pPr>
          </w:p>
        </w:tc>
        <w:tc>
          <w:tcPr>
            <w:tcW w:w="1236" w:type="dxa"/>
            <w:vAlign w:val="center"/>
          </w:tcPr>
          <w:p w14:paraId="44DE6924">
            <w:pPr>
              <w:adjustRightInd w:val="0"/>
              <w:snapToGrid w:val="0"/>
              <w:jc w:val="center"/>
              <w:rPr>
                <w:rFonts w:hint="eastAsia" w:ascii="仿宋" w:hAnsi="仿宋" w:eastAsia="仿宋" w:cs="仿宋"/>
                <w:color w:val="auto"/>
                <w:sz w:val="24"/>
              </w:rPr>
            </w:pPr>
            <w:r>
              <w:rPr>
                <w:rFonts w:hint="eastAsia" w:ascii="仿宋" w:hAnsi="仿宋" w:eastAsia="仿宋" w:cs="仿宋"/>
                <w:color w:val="auto"/>
                <w:sz w:val="24"/>
              </w:rPr>
              <w:t>售后服务方案</w:t>
            </w:r>
          </w:p>
        </w:tc>
        <w:tc>
          <w:tcPr>
            <w:tcW w:w="6375" w:type="dxa"/>
            <w:vAlign w:val="center"/>
          </w:tcPr>
          <w:p w14:paraId="23745250">
            <w:pPr>
              <w:pStyle w:val="22"/>
              <w:rPr>
                <w:rFonts w:ascii="仿宋" w:hAnsi="仿宋" w:eastAsia="仿宋" w:cs="仿宋"/>
                <w:color w:val="auto"/>
                <w:kern w:val="2"/>
              </w:rPr>
            </w:pPr>
            <w:r>
              <w:rPr>
                <w:rFonts w:ascii="仿宋" w:hAnsi="仿宋" w:eastAsia="仿宋" w:cs="仿宋"/>
                <w:color w:val="auto"/>
                <w:kern w:val="2"/>
              </w:rPr>
              <w:t>根据供应商提供的售后服务保障方案，根据方案完整性、可操作性以及服务售后内容、方式、响应时间、措施、突发状况处理等指标进行评审，本项满分5分，其余酌情扣分。</w:t>
            </w:r>
          </w:p>
        </w:tc>
        <w:tc>
          <w:tcPr>
            <w:tcW w:w="926" w:type="dxa"/>
            <w:vAlign w:val="center"/>
          </w:tcPr>
          <w:p w14:paraId="40867E6F">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bCs/>
                <w:color w:val="auto"/>
                <w:sz w:val="24"/>
              </w:rPr>
              <w:t>0-5分</w:t>
            </w:r>
          </w:p>
        </w:tc>
      </w:tr>
      <w:tr w14:paraId="0F16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6" w:type="dxa"/>
            <w:vAlign w:val="center"/>
          </w:tcPr>
          <w:p w14:paraId="09E60230">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color w:val="auto"/>
                <w:sz w:val="24"/>
              </w:rPr>
              <w:t>报价部分</w:t>
            </w:r>
          </w:p>
        </w:tc>
        <w:tc>
          <w:tcPr>
            <w:tcW w:w="1236" w:type="dxa"/>
            <w:vAlign w:val="center"/>
          </w:tcPr>
          <w:p w14:paraId="57EEA581">
            <w:pPr>
              <w:wordWrap w:val="0"/>
              <w:adjustRightInd w:val="0"/>
              <w:snapToGrid w:val="0"/>
              <w:spacing w:line="300" w:lineRule="auto"/>
              <w:jc w:val="center"/>
              <w:rPr>
                <w:rFonts w:hint="eastAsia" w:ascii="仿宋" w:hAnsi="仿宋" w:eastAsia="仿宋" w:cs="仿宋"/>
                <w:bCs/>
                <w:color w:val="auto"/>
                <w:sz w:val="24"/>
              </w:rPr>
            </w:pPr>
            <w:r>
              <w:rPr>
                <w:rFonts w:hint="eastAsia" w:ascii="仿宋" w:hAnsi="仿宋" w:eastAsia="仿宋" w:cs="仿宋"/>
                <w:color w:val="auto"/>
                <w:sz w:val="24"/>
              </w:rPr>
              <w:t>报价得分（20分）</w:t>
            </w:r>
          </w:p>
        </w:tc>
        <w:tc>
          <w:tcPr>
            <w:tcW w:w="6375" w:type="dxa"/>
            <w:vAlign w:val="center"/>
          </w:tcPr>
          <w:p w14:paraId="79503D4C">
            <w:pPr>
              <w:adjustRightInd w:val="0"/>
              <w:snapToGrid w:val="0"/>
              <w:spacing w:line="300" w:lineRule="auto"/>
              <w:jc w:val="left"/>
              <w:rPr>
                <w:rFonts w:hint="eastAsia" w:ascii="仿宋" w:hAnsi="仿宋" w:eastAsia="仿宋" w:cs="仿宋"/>
                <w:bCs/>
                <w:color w:val="auto"/>
                <w:sz w:val="24"/>
              </w:rPr>
            </w:pPr>
            <w:r>
              <w:rPr>
                <w:rFonts w:hint="eastAsia" w:ascii="仿宋" w:hAnsi="仿宋" w:eastAsia="仿宋" w:cs="仿宋"/>
                <w:color w:val="auto"/>
                <w:sz w:val="24"/>
              </w:rPr>
              <w:t>满足磋商文件要求且报价最低的为响应基准价，其价格分为满分，其他响应报价得分统一按照下列公式计算：响应报价得分=（基准价/响应报价）×20分。</w:t>
            </w:r>
          </w:p>
        </w:tc>
        <w:tc>
          <w:tcPr>
            <w:tcW w:w="926" w:type="dxa"/>
            <w:vAlign w:val="center"/>
          </w:tcPr>
          <w:p w14:paraId="164C7AFB">
            <w:pPr>
              <w:widowControl/>
              <w:wordWrap w:val="0"/>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kern w:val="0"/>
                <w:sz w:val="24"/>
              </w:rPr>
              <w:t>0-20分</w:t>
            </w:r>
          </w:p>
        </w:tc>
      </w:tr>
    </w:tbl>
    <w:p w14:paraId="75A11A14">
      <w:pPr>
        <w:rPr>
          <w:color w:val="auto"/>
        </w:rPr>
      </w:pPr>
    </w:p>
    <w:bookmarkEnd w:id="502"/>
    <w:bookmarkEnd w:id="503"/>
    <w:bookmarkEnd w:id="504"/>
    <w:p w14:paraId="4072554C">
      <w:pPr>
        <w:pStyle w:val="3"/>
        <w:widowControl/>
        <w:adjustRightInd w:val="0"/>
        <w:spacing w:before="0" w:after="0" w:line="360" w:lineRule="auto"/>
        <w:ind w:firstLine="482" w:firstLineChars="200"/>
        <w:rPr>
          <w:rFonts w:hint="default" w:ascii="Calibri" w:hAnsi="Calibri" w:eastAsia="仿宋"/>
          <w:bCs w:val="0"/>
          <w:color w:val="auto"/>
          <w:sz w:val="24"/>
          <w:szCs w:val="24"/>
        </w:rPr>
      </w:pPr>
      <w:r>
        <w:rPr>
          <w:rFonts w:ascii="Calibri" w:hAnsi="Calibri" w:eastAsia="仿宋"/>
          <w:bCs w:val="0"/>
          <w:color w:val="auto"/>
          <w:sz w:val="24"/>
          <w:szCs w:val="24"/>
        </w:rPr>
        <w:t>1. 竞争性磋商与评审方法</w:t>
      </w:r>
    </w:p>
    <w:p w14:paraId="7D3F0AF7">
      <w:pPr>
        <w:pStyle w:val="21"/>
        <w:adjustRightInd w:val="0"/>
        <w:snapToGrid w:val="0"/>
        <w:spacing w:line="360" w:lineRule="auto"/>
        <w:ind w:firstLine="480" w:firstLineChars="200"/>
        <w:rPr>
          <w:rFonts w:ascii="Cambria Math" w:hAnsi="Cambria Math" w:eastAsia="仿宋" w:cs="Calibri"/>
          <w:color w:val="auto"/>
          <w:sz w:val="24"/>
          <w:szCs w:val="24"/>
        </w:rPr>
      </w:pPr>
      <w:bookmarkStart w:id="505" w:name="_Toc466024567"/>
      <w:bookmarkStart w:id="506" w:name="_Toc455587100"/>
      <w:bookmarkStart w:id="507" w:name="_Toc455587284"/>
      <w:bookmarkStart w:id="508" w:name="_Toc445554768"/>
      <w:r>
        <w:rPr>
          <w:rFonts w:hint="eastAsia" w:ascii="Cambria Math" w:hAnsi="Cambria Math" w:eastAsia="仿宋" w:cs="Calibri"/>
          <w:color w:val="auto"/>
          <w:sz w:val="24"/>
          <w:szCs w:val="24"/>
        </w:rPr>
        <w:t>本次评审采用综合评分法。竞争性磋商小组对响应文件进行符合性审查，符合性审查通过后进行详细评审，按照本章第3.2款规定的评审标准进行打分，并按得分由高到低的顺序推荐成交候选人。综合评分相等时，以响应报价低的优先；响应报价也相等的，按照服务方案得分高的优先；服务方案得分也相同的，则采取竞争性磋商小组抽签方式确定成交候选人排序。</w:t>
      </w:r>
    </w:p>
    <w:p w14:paraId="76949512">
      <w:pPr>
        <w:pStyle w:val="3"/>
        <w:widowControl/>
        <w:adjustRightInd w:val="0"/>
        <w:spacing w:before="0" w:after="0" w:line="360" w:lineRule="auto"/>
        <w:ind w:firstLine="482" w:firstLineChars="200"/>
        <w:rPr>
          <w:rFonts w:hint="default" w:ascii="Calibri" w:hAnsi="Calibri" w:eastAsia="仿宋"/>
          <w:bCs w:val="0"/>
          <w:color w:val="auto"/>
          <w:sz w:val="24"/>
          <w:szCs w:val="24"/>
        </w:rPr>
      </w:pPr>
      <w:r>
        <w:rPr>
          <w:rFonts w:ascii="Calibri" w:hAnsi="Calibri" w:eastAsia="仿宋"/>
          <w:bCs w:val="0"/>
          <w:color w:val="auto"/>
          <w:sz w:val="24"/>
          <w:szCs w:val="24"/>
        </w:rPr>
        <w:t>2. 竞争性磋商小组的组成和职责</w:t>
      </w:r>
      <w:bookmarkEnd w:id="505"/>
      <w:bookmarkEnd w:id="506"/>
      <w:bookmarkEnd w:id="507"/>
      <w:bookmarkEnd w:id="508"/>
    </w:p>
    <w:p w14:paraId="3D27D0BF">
      <w:pPr>
        <w:pStyle w:val="20"/>
        <w:adjustRightInd w:val="0"/>
        <w:snapToGrid w:val="0"/>
        <w:spacing w:before="0" w:line="360" w:lineRule="auto"/>
        <w:ind w:firstLine="482" w:firstLineChars="200"/>
        <w:rPr>
          <w:rFonts w:ascii="Calibri" w:hAnsi="Calibri" w:eastAsia="仿宋"/>
          <w:b/>
          <w:color w:val="auto"/>
          <w:sz w:val="24"/>
          <w:szCs w:val="24"/>
        </w:rPr>
      </w:pPr>
      <w:r>
        <w:rPr>
          <w:rFonts w:hint="eastAsia" w:ascii="Calibri" w:hAnsi="Calibri" w:eastAsia="仿宋"/>
          <w:b/>
          <w:color w:val="auto"/>
          <w:sz w:val="24"/>
          <w:szCs w:val="24"/>
        </w:rPr>
        <w:t>2.1 竞争性磋商小组的组成</w:t>
      </w:r>
    </w:p>
    <w:p w14:paraId="3B7FF6F2">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竞争性磋商小组由采购人组建，</w:t>
      </w:r>
      <w:r>
        <w:rPr>
          <w:rFonts w:hint="eastAsia" w:ascii="仿宋" w:hAnsi="仿宋" w:eastAsia="仿宋" w:cs="仿宋"/>
          <w:color w:val="auto"/>
          <w:sz w:val="24"/>
          <w:szCs w:val="24"/>
        </w:rPr>
        <w:t>3人及以上单数组成。</w:t>
      </w:r>
    </w:p>
    <w:p w14:paraId="3731674C">
      <w:pPr>
        <w:pStyle w:val="20"/>
        <w:adjustRightInd w:val="0"/>
        <w:snapToGrid w:val="0"/>
        <w:spacing w:before="0" w:line="360" w:lineRule="auto"/>
        <w:ind w:firstLine="482" w:firstLineChars="200"/>
        <w:rPr>
          <w:rFonts w:ascii="Calibri" w:hAnsi="Calibri" w:eastAsia="仿宋"/>
          <w:b/>
          <w:color w:val="auto"/>
          <w:sz w:val="24"/>
          <w:szCs w:val="24"/>
        </w:rPr>
      </w:pPr>
      <w:r>
        <w:rPr>
          <w:rFonts w:hint="eastAsia" w:ascii="Calibri" w:hAnsi="Calibri" w:eastAsia="仿宋"/>
          <w:b/>
          <w:color w:val="auto"/>
          <w:sz w:val="24"/>
          <w:szCs w:val="24"/>
        </w:rPr>
        <w:t>2.2 竞争性磋商小组的职责</w:t>
      </w:r>
    </w:p>
    <w:p w14:paraId="7D54B016">
      <w:pPr>
        <w:spacing w:line="360" w:lineRule="auto"/>
        <w:ind w:firstLine="480" w:firstLineChars="200"/>
        <w:rPr>
          <w:rFonts w:hint="eastAsia" w:ascii="楷体" w:hAnsi="楷体" w:eastAsia="仿宋" w:cs="楷体"/>
          <w:color w:val="auto"/>
          <w:kern w:val="0"/>
          <w:sz w:val="24"/>
        </w:rPr>
      </w:pPr>
      <w:r>
        <w:rPr>
          <w:rFonts w:ascii="楷体" w:hAnsi="楷体" w:eastAsia="仿宋" w:cs="楷体"/>
          <w:color w:val="auto"/>
          <w:kern w:val="0"/>
          <w:sz w:val="24"/>
        </w:rPr>
        <w:t>根据</w:t>
      </w:r>
      <w:r>
        <w:rPr>
          <w:rFonts w:hint="eastAsia" w:ascii="楷体" w:hAnsi="楷体" w:eastAsia="仿宋" w:cs="楷体"/>
          <w:color w:val="auto"/>
          <w:kern w:val="0"/>
          <w:sz w:val="24"/>
        </w:rPr>
        <w:t>竞争性磋商文件</w:t>
      </w:r>
      <w:r>
        <w:rPr>
          <w:rFonts w:ascii="楷体" w:hAnsi="楷体" w:eastAsia="仿宋" w:cs="楷体"/>
          <w:color w:val="auto"/>
          <w:kern w:val="0"/>
          <w:sz w:val="24"/>
        </w:rPr>
        <w:t>规定的</w:t>
      </w:r>
      <w:r>
        <w:rPr>
          <w:rFonts w:hint="eastAsia" w:ascii="楷体" w:hAnsi="楷体" w:eastAsia="仿宋" w:cs="楷体"/>
          <w:color w:val="auto"/>
          <w:kern w:val="0"/>
          <w:sz w:val="24"/>
        </w:rPr>
        <w:t>竞争性磋商程序、</w:t>
      </w:r>
      <w:r>
        <w:rPr>
          <w:rFonts w:ascii="楷体" w:hAnsi="楷体" w:eastAsia="仿宋" w:cs="楷体"/>
          <w:color w:val="auto"/>
          <w:kern w:val="0"/>
          <w:sz w:val="24"/>
        </w:rPr>
        <w:t>评</w:t>
      </w:r>
      <w:r>
        <w:rPr>
          <w:rFonts w:hint="eastAsia" w:ascii="楷体" w:hAnsi="楷体" w:eastAsia="仿宋" w:cs="楷体"/>
          <w:color w:val="auto"/>
          <w:kern w:val="0"/>
          <w:sz w:val="24"/>
        </w:rPr>
        <w:t>审</w:t>
      </w:r>
      <w:r>
        <w:rPr>
          <w:rFonts w:ascii="楷体" w:hAnsi="楷体" w:eastAsia="仿宋" w:cs="楷体"/>
          <w:color w:val="auto"/>
          <w:kern w:val="0"/>
          <w:sz w:val="24"/>
        </w:rPr>
        <w:t>程序、评</w:t>
      </w:r>
      <w:r>
        <w:rPr>
          <w:rFonts w:hint="eastAsia" w:ascii="楷体" w:hAnsi="楷体" w:eastAsia="仿宋" w:cs="楷体"/>
          <w:color w:val="auto"/>
          <w:kern w:val="0"/>
          <w:sz w:val="24"/>
        </w:rPr>
        <w:t>审</w:t>
      </w:r>
      <w:r>
        <w:rPr>
          <w:rFonts w:ascii="楷体" w:hAnsi="楷体" w:eastAsia="仿宋" w:cs="楷体"/>
          <w:color w:val="auto"/>
          <w:kern w:val="0"/>
          <w:sz w:val="24"/>
        </w:rPr>
        <w:t>方法和评</w:t>
      </w:r>
      <w:r>
        <w:rPr>
          <w:rFonts w:hint="eastAsia" w:ascii="楷体" w:hAnsi="楷体" w:eastAsia="仿宋" w:cs="楷体"/>
          <w:color w:val="auto"/>
          <w:kern w:val="0"/>
          <w:sz w:val="24"/>
        </w:rPr>
        <w:t>审</w:t>
      </w:r>
      <w:r>
        <w:rPr>
          <w:rFonts w:ascii="楷体" w:hAnsi="楷体" w:eastAsia="仿宋" w:cs="楷体"/>
          <w:color w:val="auto"/>
          <w:kern w:val="0"/>
          <w:sz w:val="24"/>
        </w:rPr>
        <w:t>标准进行独立评审。</w:t>
      </w:r>
      <w:r>
        <w:rPr>
          <w:rFonts w:hint="eastAsia" w:eastAsia="仿宋"/>
          <w:color w:val="auto"/>
          <w:sz w:val="24"/>
        </w:rPr>
        <w:t>竞争性磋商小组成员</w:t>
      </w:r>
      <w:r>
        <w:rPr>
          <w:rFonts w:ascii="楷体" w:hAnsi="楷体" w:eastAsia="仿宋" w:cs="楷体"/>
          <w:color w:val="auto"/>
          <w:kern w:val="0"/>
          <w:sz w:val="24"/>
        </w:rPr>
        <w:t>应当在评</w:t>
      </w:r>
      <w:r>
        <w:rPr>
          <w:rFonts w:hint="eastAsia" w:ascii="楷体" w:hAnsi="楷体" w:eastAsia="仿宋" w:cs="楷体"/>
          <w:color w:val="auto"/>
          <w:kern w:val="0"/>
          <w:sz w:val="24"/>
        </w:rPr>
        <w:t>审</w:t>
      </w:r>
      <w:r>
        <w:rPr>
          <w:rFonts w:ascii="楷体" w:hAnsi="楷体" w:eastAsia="仿宋" w:cs="楷体"/>
          <w:color w:val="auto"/>
          <w:kern w:val="0"/>
          <w:sz w:val="24"/>
        </w:rPr>
        <w:t>报告上签字，对自己的</w:t>
      </w:r>
      <w:r>
        <w:rPr>
          <w:rFonts w:hint="eastAsia" w:ascii="楷体" w:hAnsi="楷体" w:eastAsia="仿宋" w:cs="楷体"/>
          <w:color w:val="auto"/>
          <w:kern w:val="0"/>
          <w:sz w:val="24"/>
        </w:rPr>
        <w:t>竞争性磋商与</w:t>
      </w:r>
      <w:r>
        <w:rPr>
          <w:rFonts w:ascii="楷体" w:hAnsi="楷体" w:eastAsia="仿宋" w:cs="楷体"/>
          <w:color w:val="auto"/>
          <w:kern w:val="0"/>
          <w:sz w:val="24"/>
        </w:rPr>
        <w:t>评</w:t>
      </w:r>
      <w:r>
        <w:rPr>
          <w:rFonts w:hint="eastAsia" w:ascii="楷体" w:hAnsi="楷体" w:eastAsia="仿宋" w:cs="楷体"/>
          <w:color w:val="auto"/>
          <w:kern w:val="0"/>
          <w:sz w:val="24"/>
        </w:rPr>
        <w:t>审</w:t>
      </w:r>
      <w:r>
        <w:rPr>
          <w:rFonts w:ascii="楷体" w:hAnsi="楷体" w:eastAsia="仿宋" w:cs="楷体"/>
          <w:color w:val="auto"/>
          <w:kern w:val="0"/>
          <w:sz w:val="24"/>
        </w:rPr>
        <w:t>意见承担法律责任。对需要共同认定的事项存在争议的，按照少数服从多数的原则做出结论。对评</w:t>
      </w:r>
      <w:r>
        <w:rPr>
          <w:rFonts w:hint="eastAsia" w:ascii="楷体" w:hAnsi="楷体" w:eastAsia="仿宋" w:cs="楷体"/>
          <w:color w:val="auto"/>
          <w:kern w:val="0"/>
          <w:sz w:val="24"/>
        </w:rPr>
        <w:t>审</w:t>
      </w:r>
      <w:r>
        <w:rPr>
          <w:rFonts w:ascii="楷体" w:hAnsi="楷体" w:eastAsia="仿宋" w:cs="楷体"/>
          <w:color w:val="auto"/>
          <w:kern w:val="0"/>
          <w:sz w:val="24"/>
        </w:rPr>
        <w:t>报告有异议的，应当在评</w:t>
      </w:r>
      <w:r>
        <w:rPr>
          <w:rFonts w:hint="eastAsia" w:ascii="楷体" w:hAnsi="楷体" w:eastAsia="仿宋" w:cs="楷体"/>
          <w:color w:val="auto"/>
          <w:kern w:val="0"/>
          <w:sz w:val="24"/>
        </w:rPr>
        <w:t>审</w:t>
      </w:r>
      <w:r>
        <w:rPr>
          <w:rFonts w:ascii="楷体" w:hAnsi="楷体" w:eastAsia="仿宋" w:cs="楷体"/>
          <w:color w:val="auto"/>
          <w:kern w:val="0"/>
          <w:sz w:val="24"/>
        </w:rPr>
        <w:t>报告上签署不同意见并说明理由，否则视为同意评</w:t>
      </w:r>
      <w:r>
        <w:rPr>
          <w:rFonts w:hint="eastAsia" w:ascii="楷体" w:hAnsi="楷体" w:eastAsia="仿宋" w:cs="楷体"/>
          <w:color w:val="auto"/>
          <w:kern w:val="0"/>
          <w:sz w:val="24"/>
        </w:rPr>
        <w:t>审</w:t>
      </w:r>
      <w:r>
        <w:rPr>
          <w:rFonts w:ascii="楷体" w:hAnsi="楷体" w:eastAsia="仿宋" w:cs="楷体"/>
          <w:color w:val="auto"/>
          <w:kern w:val="0"/>
          <w:sz w:val="24"/>
        </w:rPr>
        <w:t>报告。</w:t>
      </w:r>
    </w:p>
    <w:p w14:paraId="34F44842">
      <w:pPr>
        <w:pStyle w:val="3"/>
        <w:widowControl/>
        <w:adjustRightInd w:val="0"/>
        <w:spacing w:before="0" w:after="0" w:line="360" w:lineRule="auto"/>
        <w:ind w:firstLine="482" w:firstLineChars="200"/>
        <w:rPr>
          <w:rFonts w:hint="default" w:ascii="Calibri" w:hAnsi="Calibri" w:eastAsia="仿宋"/>
          <w:bCs w:val="0"/>
          <w:color w:val="auto"/>
          <w:sz w:val="24"/>
          <w:szCs w:val="24"/>
        </w:rPr>
      </w:pPr>
      <w:bookmarkStart w:id="509" w:name="_Toc455587102"/>
      <w:bookmarkStart w:id="510" w:name="_Toc466024569"/>
      <w:bookmarkStart w:id="511" w:name="_Toc445554770"/>
      <w:bookmarkStart w:id="512" w:name="_Toc455587286"/>
      <w:bookmarkStart w:id="513" w:name="_Toc466024568"/>
      <w:bookmarkStart w:id="514" w:name="_Toc455587285"/>
      <w:bookmarkStart w:id="515" w:name="_Toc445554769"/>
      <w:bookmarkStart w:id="516" w:name="_Toc455587101"/>
      <w:r>
        <w:rPr>
          <w:rFonts w:ascii="Calibri" w:hAnsi="Calibri" w:eastAsia="仿宋"/>
          <w:bCs w:val="0"/>
          <w:color w:val="auto"/>
          <w:sz w:val="24"/>
          <w:szCs w:val="24"/>
        </w:rPr>
        <w:t>3. 评审标准</w:t>
      </w:r>
      <w:bookmarkEnd w:id="509"/>
      <w:bookmarkEnd w:id="510"/>
      <w:bookmarkEnd w:id="511"/>
      <w:bookmarkEnd w:id="512"/>
    </w:p>
    <w:p w14:paraId="1A84E704">
      <w:pPr>
        <w:pStyle w:val="21"/>
        <w:adjustRightInd w:val="0"/>
        <w:snapToGrid w:val="0"/>
        <w:spacing w:line="360" w:lineRule="auto"/>
        <w:ind w:firstLine="482" w:firstLineChars="200"/>
        <w:rPr>
          <w:rFonts w:ascii="Calibri" w:hAnsi="Calibri" w:eastAsia="仿宋"/>
          <w:color w:val="auto"/>
          <w:sz w:val="24"/>
          <w:szCs w:val="24"/>
        </w:rPr>
      </w:pPr>
      <w:r>
        <w:rPr>
          <w:rFonts w:hint="eastAsia" w:ascii="Calibri" w:hAnsi="Calibri" w:eastAsia="仿宋"/>
          <w:b/>
          <w:color w:val="auto"/>
          <w:sz w:val="24"/>
          <w:szCs w:val="24"/>
        </w:rPr>
        <w:t>3.1 符合性审查标准</w:t>
      </w:r>
    </w:p>
    <w:p w14:paraId="779F5286">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3.1.1 形式评审标准：见评审办法前附表。</w:t>
      </w:r>
    </w:p>
    <w:p w14:paraId="362DE939">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3.1.2 资格评审标准：见评审办法前附表。</w:t>
      </w:r>
    </w:p>
    <w:p w14:paraId="1A590401">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3.1.3 响应性评审标准：见评审办法前附表。</w:t>
      </w:r>
    </w:p>
    <w:p w14:paraId="63FB5B19">
      <w:pPr>
        <w:pStyle w:val="21"/>
        <w:adjustRightInd w:val="0"/>
        <w:snapToGrid w:val="0"/>
        <w:spacing w:line="360" w:lineRule="auto"/>
        <w:ind w:firstLine="482" w:firstLineChars="200"/>
        <w:rPr>
          <w:rFonts w:ascii="Calibri" w:hAnsi="Calibri" w:eastAsia="仿宋"/>
          <w:b/>
          <w:color w:val="auto"/>
          <w:sz w:val="24"/>
          <w:szCs w:val="24"/>
        </w:rPr>
      </w:pPr>
      <w:r>
        <w:rPr>
          <w:rFonts w:hint="eastAsia" w:ascii="Calibri" w:hAnsi="Calibri" w:eastAsia="仿宋"/>
          <w:b/>
          <w:color w:val="auto"/>
          <w:sz w:val="24"/>
          <w:szCs w:val="24"/>
        </w:rPr>
        <w:t>3.2 详细评审</w:t>
      </w:r>
    </w:p>
    <w:p w14:paraId="3CE2CBE3">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3.2.1 分值构成：见评审办法前附表。</w:t>
      </w:r>
    </w:p>
    <w:p w14:paraId="63B49C54">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3.2.2评分标准：见评审办法前附表。</w:t>
      </w:r>
    </w:p>
    <w:p w14:paraId="22DE2CB1">
      <w:pPr>
        <w:pStyle w:val="3"/>
        <w:widowControl/>
        <w:adjustRightInd w:val="0"/>
        <w:spacing w:before="0" w:after="0" w:line="360" w:lineRule="auto"/>
        <w:ind w:firstLine="482" w:firstLineChars="200"/>
        <w:rPr>
          <w:rFonts w:hint="default" w:ascii="Calibri" w:hAnsi="Calibri" w:eastAsia="仿宋"/>
          <w:bCs w:val="0"/>
          <w:color w:val="auto"/>
          <w:sz w:val="24"/>
          <w:szCs w:val="24"/>
        </w:rPr>
      </w:pPr>
      <w:r>
        <w:rPr>
          <w:rFonts w:ascii="Calibri" w:hAnsi="Calibri" w:eastAsia="仿宋"/>
          <w:bCs w:val="0"/>
          <w:color w:val="auto"/>
          <w:sz w:val="24"/>
          <w:szCs w:val="24"/>
        </w:rPr>
        <w:t>4. 竞争性磋商与评审程序</w:t>
      </w:r>
      <w:bookmarkEnd w:id="513"/>
      <w:bookmarkEnd w:id="514"/>
      <w:bookmarkEnd w:id="515"/>
      <w:bookmarkEnd w:id="516"/>
    </w:p>
    <w:p w14:paraId="4065448A">
      <w:pPr>
        <w:pStyle w:val="21"/>
        <w:adjustRightInd w:val="0"/>
        <w:snapToGrid w:val="0"/>
        <w:spacing w:line="360" w:lineRule="auto"/>
        <w:ind w:firstLine="482" w:firstLineChars="200"/>
        <w:rPr>
          <w:rFonts w:ascii="Calibri" w:hAnsi="Calibri" w:eastAsia="仿宋"/>
          <w:b/>
          <w:color w:val="auto"/>
          <w:sz w:val="24"/>
          <w:szCs w:val="24"/>
        </w:rPr>
      </w:pPr>
      <w:bookmarkStart w:id="517" w:name="_Toc497923238"/>
      <w:bookmarkStart w:id="518" w:name="_Toc500009130"/>
      <w:r>
        <w:rPr>
          <w:rFonts w:hint="eastAsia" w:ascii="Calibri" w:hAnsi="Calibri" w:eastAsia="仿宋"/>
          <w:b/>
          <w:color w:val="auto"/>
          <w:sz w:val="24"/>
          <w:szCs w:val="24"/>
        </w:rPr>
        <w:t>4</w:t>
      </w:r>
      <w:r>
        <w:rPr>
          <w:rFonts w:ascii="Calibri" w:hAnsi="Calibri" w:eastAsia="仿宋"/>
          <w:b/>
          <w:color w:val="auto"/>
          <w:sz w:val="24"/>
          <w:szCs w:val="24"/>
        </w:rPr>
        <w:t>.1初步评审</w:t>
      </w:r>
      <w:bookmarkEnd w:id="517"/>
      <w:bookmarkEnd w:id="518"/>
    </w:p>
    <w:p w14:paraId="08032B7E">
      <w:pPr>
        <w:adjustRightInd w:val="0"/>
        <w:snapToGrid w:val="0"/>
        <w:spacing w:line="360" w:lineRule="auto"/>
        <w:ind w:firstLine="480" w:firstLineChars="200"/>
        <w:rPr>
          <w:rFonts w:eastAsia="仿宋" w:cs="&amp;quot"/>
          <w:color w:val="auto"/>
          <w:sz w:val="24"/>
        </w:rPr>
      </w:pPr>
      <w:r>
        <w:rPr>
          <w:rFonts w:hint="eastAsia" w:eastAsia="仿宋" w:cs="&amp;quot"/>
          <w:color w:val="auto"/>
          <w:sz w:val="24"/>
        </w:rPr>
        <w:t>4</w:t>
      </w:r>
      <w:r>
        <w:rPr>
          <w:rFonts w:eastAsia="仿宋" w:cs="&amp;quot"/>
          <w:color w:val="auto"/>
          <w:sz w:val="24"/>
        </w:rPr>
        <w:t>.1.1</w:t>
      </w:r>
      <w:r>
        <w:rPr>
          <w:rFonts w:hint="eastAsia" w:eastAsia="仿宋" w:cs="&amp;quot"/>
          <w:color w:val="auto"/>
          <w:sz w:val="24"/>
        </w:rPr>
        <w:t>竞争性磋商</w:t>
      </w:r>
      <w:r>
        <w:rPr>
          <w:rFonts w:eastAsia="仿宋" w:cs="&amp;quot"/>
          <w:color w:val="auto"/>
          <w:sz w:val="24"/>
        </w:rPr>
        <w:t>小组依据本章第</w:t>
      </w:r>
      <w:r>
        <w:rPr>
          <w:rFonts w:hint="eastAsia" w:eastAsia="仿宋" w:cs="&amp;quot"/>
          <w:color w:val="auto"/>
          <w:sz w:val="24"/>
        </w:rPr>
        <w:t>3</w:t>
      </w:r>
      <w:r>
        <w:rPr>
          <w:rFonts w:eastAsia="仿宋" w:cs="&amp;quot"/>
          <w:color w:val="auto"/>
          <w:sz w:val="24"/>
        </w:rPr>
        <w:t>.1款规定的标准对响应文件进行初步评审。有一项不符合评审标准的，</w:t>
      </w:r>
      <w:r>
        <w:rPr>
          <w:rFonts w:hint="eastAsia" w:eastAsia="仿宋" w:cs="&amp;quot"/>
          <w:color w:val="auto"/>
          <w:sz w:val="24"/>
        </w:rPr>
        <w:t>其响应文件</w:t>
      </w:r>
      <w:r>
        <w:rPr>
          <w:rFonts w:eastAsia="仿宋" w:cs="&amp;quot"/>
          <w:color w:val="auto"/>
          <w:sz w:val="24"/>
        </w:rPr>
        <w:t>按无效响应处理。</w:t>
      </w:r>
    </w:p>
    <w:p w14:paraId="7CA82D94">
      <w:pPr>
        <w:adjustRightInd w:val="0"/>
        <w:snapToGrid w:val="0"/>
        <w:spacing w:line="360" w:lineRule="auto"/>
        <w:ind w:firstLine="480" w:firstLineChars="200"/>
        <w:rPr>
          <w:rFonts w:eastAsia="仿宋" w:cs="&amp;quot"/>
          <w:color w:val="auto"/>
          <w:sz w:val="24"/>
        </w:rPr>
      </w:pPr>
      <w:r>
        <w:rPr>
          <w:rFonts w:hint="eastAsia" w:eastAsia="仿宋" w:cs="&amp;quot"/>
          <w:color w:val="auto"/>
          <w:sz w:val="24"/>
        </w:rPr>
        <w:t>4.1.2供应商有下列情形之一的，其响应文件</w:t>
      </w:r>
      <w:r>
        <w:rPr>
          <w:rFonts w:eastAsia="仿宋" w:cs="&amp;quot"/>
          <w:color w:val="auto"/>
          <w:sz w:val="24"/>
        </w:rPr>
        <w:t>按无效响应处理</w:t>
      </w:r>
      <w:r>
        <w:rPr>
          <w:rFonts w:hint="eastAsia" w:eastAsia="仿宋" w:cs="&amp;quot"/>
          <w:color w:val="auto"/>
          <w:sz w:val="24"/>
        </w:rPr>
        <w:t>：</w:t>
      </w:r>
    </w:p>
    <w:p w14:paraId="5AE9786E">
      <w:pPr>
        <w:adjustRightInd w:val="0"/>
        <w:snapToGrid w:val="0"/>
        <w:spacing w:line="360" w:lineRule="auto"/>
        <w:ind w:firstLine="480" w:firstLineChars="200"/>
        <w:rPr>
          <w:rFonts w:eastAsia="仿宋" w:cs="&amp;quot"/>
          <w:color w:val="auto"/>
          <w:sz w:val="24"/>
        </w:rPr>
      </w:pPr>
      <w:r>
        <w:rPr>
          <w:rFonts w:hint="eastAsia" w:eastAsia="仿宋" w:cs="&amp;quot"/>
          <w:color w:val="auto"/>
          <w:sz w:val="24"/>
        </w:rPr>
        <w:t>（1）除竞争性磋商文件可能实质性变动的条款外，响应文件未对竞争性磋商文件的其他实质性条款做出响应，或者对竞争性磋商文件的偏差超过规定的偏差范围或最高项数；</w:t>
      </w:r>
    </w:p>
    <w:p w14:paraId="49BE02EE">
      <w:pPr>
        <w:adjustRightInd w:val="0"/>
        <w:snapToGrid w:val="0"/>
        <w:spacing w:line="360" w:lineRule="auto"/>
        <w:ind w:firstLine="480" w:firstLineChars="200"/>
        <w:rPr>
          <w:rFonts w:eastAsia="仿宋" w:cs="&amp;quot"/>
          <w:color w:val="auto"/>
          <w:sz w:val="24"/>
        </w:rPr>
      </w:pPr>
      <w:r>
        <w:rPr>
          <w:rFonts w:hint="eastAsia" w:eastAsia="仿宋" w:cs="&amp;quot"/>
          <w:color w:val="auto"/>
          <w:sz w:val="24"/>
        </w:rPr>
        <w:t>（2）有恶意串通、弄虚作假、行贿等行为。</w:t>
      </w:r>
    </w:p>
    <w:p w14:paraId="19833EAD">
      <w:pPr>
        <w:adjustRightInd w:val="0"/>
        <w:snapToGrid w:val="0"/>
        <w:spacing w:line="360" w:lineRule="auto"/>
        <w:ind w:firstLine="480" w:firstLineChars="200"/>
        <w:rPr>
          <w:rFonts w:eastAsia="仿宋" w:cs="&amp;quot"/>
          <w:color w:val="auto"/>
          <w:sz w:val="24"/>
        </w:rPr>
      </w:pPr>
      <w:r>
        <w:rPr>
          <w:rFonts w:hint="eastAsia" w:eastAsia="仿宋" w:cs="&amp;quot"/>
          <w:color w:val="auto"/>
          <w:sz w:val="24"/>
        </w:rPr>
        <w:t>4</w:t>
      </w:r>
      <w:r>
        <w:rPr>
          <w:rFonts w:eastAsia="仿宋" w:cs="&amp;quot"/>
          <w:color w:val="auto"/>
          <w:sz w:val="24"/>
        </w:rPr>
        <w:t>.</w:t>
      </w:r>
      <w:r>
        <w:rPr>
          <w:rFonts w:hint="eastAsia" w:eastAsia="仿宋" w:cs="&amp;quot"/>
          <w:color w:val="auto"/>
          <w:sz w:val="24"/>
        </w:rPr>
        <w:t>1</w:t>
      </w:r>
      <w:r>
        <w:rPr>
          <w:rFonts w:eastAsia="仿宋" w:cs="&amp;quot"/>
          <w:color w:val="auto"/>
          <w:sz w:val="24"/>
        </w:rPr>
        <w:t>.</w:t>
      </w:r>
      <w:r>
        <w:rPr>
          <w:rFonts w:hint="eastAsia" w:eastAsia="仿宋" w:cs="&amp;quot"/>
          <w:color w:val="auto"/>
          <w:sz w:val="24"/>
        </w:rPr>
        <w:t>3</w:t>
      </w:r>
      <w:r>
        <w:rPr>
          <w:rFonts w:eastAsia="仿宋" w:cs="&amp;quot"/>
          <w:color w:val="auto"/>
          <w:sz w:val="24"/>
        </w:rPr>
        <w:t>响应报价有算术错误的，</w:t>
      </w:r>
      <w:r>
        <w:rPr>
          <w:rFonts w:hint="eastAsia" w:eastAsia="仿宋" w:cs="&amp;quot"/>
          <w:color w:val="auto"/>
          <w:sz w:val="24"/>
        </w:rPr>
        <w:t>竞争性磋商</w:t>
      </w:r>
      <w:r>
        <w:rPr>
          <w:rFonts w:eastAsia="仿宋" w:cs="&amp;quot"/>
          <w:color w:val="auto"/>
          <w:sz w:val="24"/>
        </w:rPr>
        <w:t>小组按以下原则对响应报价进行修正，修正的价格经供应商书面确认后具有约束力。供应商不接受修正价格的，</w:t>
      </w:r>
      <w:r>
        <w:rPr>
          <w:rFonts w:hint="eastAsia" w:eastAsia="仿宋" w:cs="&amp;quot"/>
          <w:color w:val="auto"/>
          <w:sz w:val="24"/>
        </w:rPr>
        <w:t>其响应文件</w:t>
      </w:r>
      <w:r>
        <w:rPr>
          <w:rFonts w:eastAsia="仿宋" w:cs="&amp;quot"/>
          <w:color w:val="auto"/>
          <w:sz w:val="24"/>
        </w:rPr>
        <w:t>按无效响应处理。</w:t>
      </w:r>
    </w:p>
    <w:p w14:paraId="5B0840FF">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（1）响应文件中响应报价一览表内容与响应文件中相应内容不一致的，以响应报价一览表为准；</w:t>
      </w:r>
    </w:p>
    <w:p w14:paraId="66B261C8">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（2）大写金额和小写金额不一致的，以大写金额为准；</w:t>
      </w:r>
    </w:p>
    <w:p w14:paraId="645E2C1E">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（3）单价金额小数点或者百分比有明显错位的，以响应报价一览表的总价为准，并修改单价；</w:t>
      </w:r>
    </w:p>
    <w:p w14:paraId="0BCF5B69">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（4）总价金额与按单价汇总金额不一致的，以单价金额计算结果为准。</w:t>
      </w:r>
    </w:p>
    <w:p w14:paraId="2CF27CD3">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同时出现两种以上不一致的，按照前款规定的顺序修正。修正后的报价经供应商确认后产生约束力，供应商不确认的，其响应文件按无效处理。</w:t>
      </w:r>
    </w:p>
    <w:p w14:paraId="6DAB6E89">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成交后，以成交价为基准，同比例修正分项单价。</w:t>
      </w:r>
    </w:p>
    <w:p w14:paraId="64BC6D56">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4.1.4 竞争性磋商小组按照规定的原则对响应报价进行校核时，发现响应报价存在多处算术错误或漏项的，使得响应报价校核无法进行的，其响应文件按无效处理。</w:t>
      </w:r>
    </w:p>
    <w:p w14:paraId="2BBB67EA">
      <w:pPr>
        <w:pStyle w:val="21"/>
        <w:adjustRightInd w:val="0"/>
        <w:snapToGrid w:val="0"/>
        <w:spacing w:line="360" w:lineRule="auto"/>
        <w:ind w:firstLine="482" w:firstLineChars="200"/>
        <w:rPr>
          <w:rFonts w:ascii="Calibri" w:hAnsi="Calibri" w:eastAsia="仿宋"/>
          <w:b/>
          <w:color w:val="auto"/>
          <w:sz w:val="24"/>
          <w:szCs w:val="24"/>
        </w:rPr>
      </w:pPr>
      <w:bookmarkStart w:id="519" w:name="_Toc497923240"/>
      <w:bookmarkStart w:id="520" w:name="_Toc500009133"/>
      <w:r>
        <w:rPr>
          <w:rFonts w:hint="eastAsia" w:ascii="Calibri" w:hAnsi="Calibri" w:eastAsia="仿宋"/>
          <w:b/>
          <w:color w:val="auto"/>
          <w:sz w:val="24"/>
          <w:szCs w:val="24"/>
        </w:rPr>
        <w:t>4</w:t>
      </w:r>
      <w:r>
        <w:rPr>
          <w:rFonts w:ascii="Calibri" w:hAnsi="Calibri" w:eastAsia="仿宋"/>
          <w:b/>
          <w:color w:val="auto"/>
          <w:sz w:val="24"/>
          <w:szCs w:val="24"/>
        </w:rPr>
        <w:t>.</w:t>
      </w:r>
      <w:r>
        <w:rPr>
          <w:rFonts w:hint="eastAsia" w:ascii="Calibri" w:hAnsi="Calibri" w:eastAsia="仿宋"/>
          <w:b/>
          <w:color w:val="auto"/>
          <w:sz w:val="24"/>
          <w:szCs w:val="24"/>
        </w:rPr>
        <w:t>2</w:t>
      </w:r>
      <w:r>
        <w:rPr>
          <w:rFonts w:ascii="Calibri" w:hAnsi="Calibri" w:eastAsia="仿宋"/>
          <w:b/>
          <w:color w:val="auto"/>
          <w:sz w:val="24"/>
          <w:szCs w:val="24"/>
        </w:rPr>
        <w:t>详细评审</w:t>
      </w:r>
      <w:bookmarkEnd w:id="519"/>
      <w:bookmarkEnd w:id="520"/>
    </w:p>
    <w:p w14:paraId="4F8E5685">
      <w:pPr>
        <w:adjustRightInd w:val="0"/>
        <w:snapToGrid w:val="0"/>
        <w:spacing w:line="360" w:lineRule="auto"/>
        <w:ind w:firstLine="480" w:firstLineChars="200"/>
        <w:rPr>
          <w:rFonts w:eastAsia="仿宋"/>
          <w:color w:val="auto"/>
          <w:sz w:val="24"/>
        </w:rPr>
      </w:pPr>
      <w:r>
        <w:rPr>
          <w:rFonts w:hint="eastAsia" w:eastAsia="仿宋"/>
          <w:color w:val="auto"/>
          <w:sz w:val="24"/>
        </w:rPr>
        <w:t>4.2.1竞争性磋商</w:t>
      </w:r>
      <w:r>
        <w:rPr>
          <w:rFonts w:eastAsia="仿宋"/>
          <w:color w:val="auto"/>
          <w:sz w:val="24"/>
        </w:rPr>
        <w:t>小组按本章第</w:t>
      </w:r>
      <w:r>
        <w:rPr>
          <w:rFonts w:hint="eastAsia" w:eastAsia="仿宋"/>
          <w:color w:val="auto"/>
          <w:sz w:val="24"/>
        </w:rPr>
        <w:t>3</w:t>
      </w:r>
      <w:r>
        <w:rPr>
          <w:rFonts w:eastAsia="仿宋"/>
          <w:color w:val="auto"/>
          <w:sz w:val="24"/>
        </w:rPr>
        <w:t>.2款规定的量化因素和分值进行打分，并计算出</w:t>
      </w:r>
      <w:r>
        <w:rPr>
          <w:rFonts w:hint="eastAsia" w:eastAsia="仿宋"/>
          <w:color w:val="auto"/>
          <w:sz w:val="24"/>
        </w:rPr>
        <w:t>综合得分</w:t>
      </w:r>
      <w:r>
        <w:rPr>
          <w:rFonts w:eastAsia="仿宋"/>
          <w:color w:val="auto"/>
          <w:sz w:val="24"/>
        </w:rPr>
        <w:t>。</w:t>
      </w:r>
    </w:p>
    <w:p w14:paraId="229A1658">
      <w:pPr>
        <w:adjustRightInd w:val="0"/>
        <w:snapToGrid w:val="0"/>
        <w:spacing w:line="360" w:lineRule="auto"/>
        <w:ind w:firstLine="480" w:firstLineChars="200"/>
        <w:rPr>
          <w:rFonts w:eastAsia="仿宋"/>
          <w:color w:val="auto"/>
          <w:sz w:val="24"/>
        </w:rPr>
      </w:pPr>
      <w:r>
        <w:rPr>
          <w:rFonts w:hint="eastAsia" w:eastAsia="仿宋"/>
          <w:color w:val="auto"/>
          <w:sz w:val="24"/>
        </w:rPr>
        <w:t>4.2.2 评分分值计算保留小数点后两位，小数点后第三位“四舍五入”。</w:t>
      </w:r>
    </w:p>
    <w:p w14:paraId="0C57E246">
      <w:pPr>
        <w:adjustRightInd w:val="0"/>
        <w:snapToGrid w:val="0"/>
        <w:spacing w:line="360" w:lineRule="auto"/>
        <w:ind w:firstLine="480" w:firstLineChars="200"/>
        <w:rPr>
          <w:rFonts w:eastAsia="仿宋"/>
          <w:color w:val="auto"/>
          <w:sz w:val="24"/>
        </w:rPr>
      </w:pPr>
      <w:r>
        <w:rPr>
          <w:rFonts w:hint="eastAsia" w:eastAsia="仿宋"/>
          <w:color w:val="auto"/>
          <w:sz w:val="24"/>
        </w:rPr>
        <w:t>4.2.3取竞争性磋商小组对各供应商评审得分的算术平均值作为供应商得分，其中响应报价得分按规定进行计算。</w:t>
      </w:r>
    </w:p>
    <w:p w14:paraId="229042AA">
      <w:pPr>
        <w:adjustRightInd w:val="0"/>
        <w:snapToGrid w:val="0"/>
        <w:spacing w:line="360" w:lineRule="auto"/>
        <w:ind w:firstLine="480" w:firstLineChars="200"/>
        <w:rPr>
          <w:rFonts w:eastAsia="仿宋"/>
          <w:b/>
          <w:bCs/>
          <w:color w:val="auto"/>
          <w:sz w:val="24"/>
        </w:rPr>
      </w:pPr>
      <w:r>
        <w:rPr>
          <w:rFonts w:hint="eastAsia" w:eastAsia="仿宋"/>
          <w:color w:val="auto"/>
          <w:sz w:val="24"/>
        </w:rPr>
        <w:t>4</w:t>
      </w:r>
      <w:r>
        <w:rPr>
          <w:rFonts w:eastAsia="仿宋"/>
          <w:color w:val="auto"/>
          <w:sz w:val="24"/>
        </w:rPr>
        <w:t>.</w:t>
      </w:r>
      <w:r>
        <w:rPr>
          <w:rFonts w:hint="eastAsia" w:eastAsia="仿宋"/>
          <w:color w:val="auto"/>
          <w:sz w:val="24"/>
        </w:rPr>
        <w:t>2</w:t>
      </w:r>
      <w:r>
        <w:rPr>
          <w:rFonts w:eastAsia="仿宋"/>
          <w:color w:val="auto"/>
          <w:sz w:val="24"/>
        </w:rPr>
        <w:t>.</w:t>
      </w:r>
      <w:r>
        <w:rPr>
          <w:rFonts w:hint="eastAsia" w:eastAsia="仿宋"/>
          <w:color w:val="auto"/>
          <w:sz w:val="24"/>
        </w:rPr>
        <w:t>4竞争性磋商</w:t>
      </w:r>
      <w:r>
        <w:rPr>
          <w:rFonts w:eastAsia="仿宋"/>
          <w:color w:val="auto"/>
          <w:sz w:val="24"/>
        </w:rPr>
        <w:t>小组发现供应商的</w:t>
      </w:r>
      <w:r>
        <w:rPr>
          <w:rFonts w:hint="eastAsia" w:eastAsia="仿宋"/>
          <w:color w:val="auto"/>
          <w:sz w:val="24"/>
        </w:rPr>
        <w:t>响应</w:t>
      </w:r>
      <w:r>
        <w:rPr>
          <w:rFonts w:eastAsia="仿宋"/>
          <w:color w:val="auto"/>
          <w:sz w:val="24"/>
        </w:rPr>
        <w:t>报价明显低于其他</w:t>
      </w:r>
      <w:r>
        <w:rPr>
          <w:rFonts w:hint="eastAsia" w:eastAsia="仿宋"/>
          <w:color w:val="auto"/>
          <w:sz w:val="24"/>
        </w:rPr>
        <w:t>通过初步评审单位的最后</w:t>
      </w:r>
      <w:r>
        <w:rPr>
          <w:rFonts w:eastAsia="仿宋"/>
          <w:color w:val="auto"/>
          <w:sz w:val="24"/>
        </w:rPr>
        <w:t>报价，</w:t>
      </w:r>
      <w:r>
        <w:rPr>
          <w:rFonts w:hint="eastAsia" w:eastAsia="仿宋"/>
          <w:color w:val="auto"/>
          <w:sz w:val="24"/>
        </w:rPr>
        <w:t>有可能影响产品质量或者不能诚信履约的，应当要求其在合理的时间内提供书面说明，必要时提交相关证明材料</w:t>
      </w:r>
      <w:r>
        <w:rPr>
          <w:rFonts w:eastAsia="仿宋"/>
          <w:color w:val="auto"/>
          <w:sz w:val="24"/>
        </w:rPr>
        <w:t>。</w:t>
      </w:r>
      <w:r>
        <w:rPr>
          <w:rFonts w:eastAsia="仿宋"/>
          <w:b/>
          <w:bCs/>
          <w:color w:val="auto"/>
          <w:sz w:val="24"/>
        </w:rPr>
        <w:t>供应商不能合理说明或者不能提供相应证明材料的，由</w:t>
      </w:r>
      <w:r>
        <w:rPr>
          <w:rFonts w:hint="eastAsia" w:eastAsia="仿宋"/>
          <w:b/>
          <w:bCs/>
          <w:color w:val="auto"/>
          <w:sz w:val="24"/>
        </w:rPr>
        <w:t>竞争性磋商</w:t>
      </w:r>
      <w:r>
        <w:rPr>
          <w:rFonts w:eastAsia="仿宋"/>
          <w:b/>
          <w:bCs/>
          <w:color w:val="auto"/>
          <w:sz w:val="24"/>
        </w:rPr>
        <w:t>小组认定该供应商以低于成本报价，其响应</w:t>
      </w:r>
      <w:r>
        <w:rPr>
          <w:rFonts w:hint="eastAsia" w:eastAsia="仿宋"/>
          <w:b/>
          <w:bCs/>
          <w:color w:val="auto"/>
          <w:sz w:val="24"/>
        </w:rPr>
        <w:t>文件</w:t>
      </w:r>
      <w:r>
        <w:rPr>
          <w:rFonts w:eastAsia="仿宋"/>
          <w:b/>
          <w:bCs/>
          <w:color w:val="auto"/>
          <w:sz w:val="24"/>
        </w:rPr>
        <w:t>按无效处理。</w:t>
      </w:r>
    </w:p>
    <w:p w14:paraId="135A462F">
      <w:pPr>
        <w:pStyle w:val="20"/>
        <w:adjustRightInd w:val="0"/>
        <w:snapToGrid w:val="0"/>
        <w:spacing w:before="0" w:line="360" w:lineRule="auto"/>
        <w:ind w:firstLine="482" w:firstLineChars="200"/>
        <w:rPr>
          <w:rFonts w:ascii="Calibri" w:hAnsi="Calibri" w:eastAsia="仿宋"/>
          <w:b/>
          <w:color w:val="auto"/>
          <w:sz w:val="24"/>
          <w:szCs w:val="24"/>
        </w:rPr>
      </w:pPr>
      <w:bookmarkStart w:id="521" w:name="_Toc466024570"/>
      <w:bookmarkStart w:id="522" w:name="_Toc455587103"/>
      <w:bookmarkStart w:id="523" w:name="_Toc445554771"/>
      <w:bookmarkStart w:id="524" w:name="_Toc455587287"/>
      <w:r>
        <w:rPr>
          <w:rFonts w:hint="eastAsia" w:ascii="Calibri" w:hAnsi="Calibri" w:eastAsia="仿宋"/>
          <w:b/>
          <w:color w:val="auto"/>
          <w:sz w:val="24"/>
          <w:szCs w:val="24"/>
        </w:rPr>
        <w:t>4.3 响应文件的澄清</w:t>
      </w:r>
      <w:bookmarkEnd w:id="521"/>
      <w:bookmarkEnd w:id="522"/>
      <w:bookmarkEnd w:id="523"/>
      <w:bookmarkEnd w:id="524"/>
    </w:p>
    <w:p w14:paraId="09432510">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4.3.1 评审过程中，竞争性磋商小组可以要求供应商对响应文件中含义不明确、同类问题表述不一致或者有明显文字和计算错误的内容等作出必要的澄清、说明或者补正。供应商的澄清、说明或者补正不得超出响应文件的范围或者改变响应文件的实质性内容（算术性错误修正的除外）。供应商的书面澄清、说明和补正属于响应文件的组成部分。</w:t>
      </w:r>
    </w:p>
    <w:p w14:paraId="6FF17BD3">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4.3.2 竞争性磋商小组对供应商提交的澄清、说明或补正有疑问的，可以要求供应商进一步澄清、说明或补正，直至满足竞争性磋商小组的要求。</w:t>
      </w:r>
    </w:p>
    <w:p w14:paraId="1E284384">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4.3.3竞争性磋商小组不接受供应商主动提出的澄清、说明或补正。</w:t>
      </w:r>
    </w:p>
    <w:p w14:paraId="09B2EE28">
      <w:pPr>
        <w:pStyle w:val="20"/>
        <w:adjustRightInd w:val="0"/>
        <w:snapToGrid w:val="0"/>
        <w:spacing w:before="0" w:line="360" w:lineRule="auto"/>
        <w:ind w:firstLine="482" w:firstLineChars="200"/>
        <w:rPr>
          <w:rFonts w:ascii="Calibri" w:hAnsi="Calibri" w:eastAsia="仿宋"/>
          <w:b/>
          <w:color w:val="auto"/>
          <w:sz w:val="24"/>
          <w:szCs w:val="24"/>
        </w:rPr>
      </w:pPr>
      <w:bookmarkStart w:id="525" w:name="_Toc455587288"/>
      <w:bookmarkStart w:id="526" w:name="_Toc466024571"/>
      <w:bookmarkStart w:id="527" w:name="_Toc455587104"/>
      <w:bookmarkStart w:id="528" w:name="_Toc445554772"/>
      <w:r>
        <w:rPr>
          <w:rFonts w:hint="eastAsia" w:ascii="Calibri" w:hAnsi="Calibri" w:eastAsia="仿宋"/>
          <w:b/>
          <w:color w:val="auto"/>
          <w:sz w:val="24"/>
          <w:szCs w:val="24"/>
        </w:rPr>
        <w:t>4.4 评审结果</w:t>
      </w:r>
      <w:bookmarkEnd w:id="525"/>
      <w:bookmarkEnd w:id="526"/>
      <w:bookmarkEnd w:id="527"/>
      <w:bookmarkEnd w:id="528"/>
    </w:p>
    <w:p w14:paraId="306727C9">
      <w:pPr>
        <w:pStyle w:val="21"/>
        <w:adjustRightInd w:val="0"/>
        <w:snapToGri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4.4.1 竞争性磋商小组按照得分由高到低的顺序推荐成交候选人，并标明排序。</w:t>
      </w:r>
    </w:p>
    <w:p w14:paraId="006E06CA">
      <w:pPr>
        <w:pStyle w:val="21"/>
        <w:adjustRightInd w:val="0"/>
        <w:spacing w:line="360" w:lineRule="auto"/>
        <w:ind w:firstLine="480" w:firstLineChars="200"/>
        <w:rPr>
          <w:rFonts w:ascii="Calibri" w:hAnsi="Calibri" w:eastAsia="仿宋" w:cs="Calibri"/>
          <w:color w:val="auto"/>
          <w:sz w:val="24"/>
          <w:szCs w:val="24"/>
        </w:rPr>
      </w:pPr>
      <w:r>
        <w:rPr>
          <w:rFonts w:hint="eastAsia" w:ascii="Calibri" w:hAnsi="Calibri" w:eastAsia="仿宋"/>
          <w:color w:val="auto"/>
          <w:sz w:val="24"/>
          <w:szCs w:val="24"/>
        </w:rPr>
        <w:t>4.4.2 完成评审后，</w:t>
      </w:r>
      <w:r>
        <w:rPr>
          <w:rFonts w:hint="eastAsia" w:ascii="Calibri" w:hAnsi="Calibri" w:eastAsia="仿宋" w:cs="Calibri"/>
          <w:color w:val="auto"/>
          <w:sz w:val="24"/>
          <w:szCs w:val="24"/>
        </w:rPr>
        <w:t>竞争性磋商小组根据全体竞争性磋商成员签字的原始竞争性磋商与评审记录和评审结果编写评审报告。</w:t>
      </w:r>
      <w:bookmarkStart w:id="529" w:name="_Toc455587289"/>
      <w:bookmarkStart w:id="530" w:name="_Toc455587105"/>
      <w:bookmarkStart w:id="531" w:name="_Toc445554773"/>
    </w:p>
    <w:p w14:paraId="180732C6">
      <w:pPr>
        <w:pStyle w:val="3"/>
        <w:widowControl/>
        <w:adjustRightInd w:val="0"/>
        <w:spacing w:before="0" w:after="0" w:line="360" w:lineRule="auto"/>
        <w:ind w:firstLine="482" w:firstLineChars="200"/>
        <w:rPr>
          <w:rFonts w:hint="default" w:ascii="Calibri" w:hAnsi="Calibri" w:eastAsia="仿宋"/>
          <w:bCs w:val="0"/>
          <w:color w:val="auto"/>
          <w:sz w:val="24"/>
          <w:szCs w:val="24"/>
        </w:rPr>
      </w:pPr>
      <w:bookmarkStart w:id="532" w:name="_Toc466024572"/>
      <w:r>
        <w:rPr>
          <w:rFonts w:ascii="Calibri" w:hAnsi="Calibri" w:eastAsia="仿宋"/>
          <w:bCs w:val="0"/>
          <w:color w:val="auto"/>
          <w:sz w:val="24"/>
          <w:szCs w:val="24"/>
        </w:rPr>
        <w:t>5. 其他</w:t>
      </w:r>
      <w:bookmarkEnd w:id="529"/>
      <w:bookmarkEnd w:id="530"/>
      <w:bookmarkEnd w:id="531"/>
      <w:bookmarkEnd w:id="532"/>
    </w:p>
    <w:p w14:paraId="6733A308">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5.1 供应商提供的与采购活动有关的各类证书、证明、文件、资料等的真实性、合法性由供应商负全责。竞争性磋商小组一律不负责进行核查确认。评审结束后证实供应商存在弄虚作假行为的，如果该供应商已被确定为成交候选人的，由采购人按照相关规定取消其成交资格，并从其他成交侯选人中依照推荐次序确定成交供应商。</w:t>
      </w:r>
    </w:p>
    <w:p w14:paraId="43024BBA">
      <w:pPr>
        <w:pStyle w:val="21"/>
        <w:adjustRightInd w:val="0"/>
        <w:spacing w:line="360" w:lineRule="auto"/>
        <w:ind w:firstLine="480" w:firstLineChars="200"/>
        <w:rPr>
          <w:rFonts w:ascii="Calibri" w:hAnsi="Calibri" w:eastAsia="仿宋"/>
          <w:color w:val="auto"/>
          <w:sz w:val="24"/>
          <w:szCs w:val="24"/>
        </w:rPr>
      </w:pPr>
      <w:r>
        <w:rPr>
          <w:rFonts w:hint="eastAsia" w:ascii="Calibri" w:hAnsi="Calibri" w:eastAsia="仿宋"/>
          <w:color w:val="auto"/>
          <w:sz w:val="24"/>
          <w:szCs w:val="24"/>
        </w:rPr>
        <w:t>5.2 供应商提供业绩、荣誉证书、各种资质、资格证书以及证明材料等文件</w:t>
      </w:r>
      <w:r>
        <w:rPr>
          <w:rFonts w:hint="eastAsia" w:ascii="宋体" w:hAnsi="宋体" w:eastAsia="仿宋"/>
          <w:color w:val="auto"/>
          <w:sz w:val="24"/>
          <w:szCs w:val="24"/>
        </w:rPr>
        <w:t>及</w:t>
      </w:r>
      <w:r>
        <w:rPr>
          <w:rFonts w:hint="eastAsia" w:ascii="Calibri" w:hAnsi="Calibri" w:eastAsia="仿宋"/>
          <w:color w:val="auto"/>
          <w:sz w:val="24"/>
          <w:szCs w:val="24"/>
        </w:rPr>
        <w:t>资料均须在响应文件中提供，电子响应文件中提供扫描件，纸质响应文件中提供复印件。如未在响应文件中提供，则初审项目视为不通过；评分项目相应项不予计分。</w:t>
      </w:r>
    </w:p>
    <w:p w14:paraId="4A1FEA3F">
      <w:pPr>
        <w:pStyle w:val="21"/>
        <w:adjustRightInd w:val="0"/>
        <w:spacing w:line="360" w:lineRule="auto"/>
        <w:ind w:firstLine="480" w:firstLineChars="200"/>
        <w:rPr>
          <w:rFonts w:hint="eastAsia" w:ascii="宋体" w:hAnsi="宋体" w:eastAsia="仿宋"/>
          <w:color w:val="auto"/>
          <w:sz w:val="24"/>
          <w:szCs w:val="24"/>
        </w:rPr>
      </w:pPr>
    </w:p>
    <w:p w14:paraId="456A5E42">
      <w:pPr>
        <w:spacing w:line="360" w:lineRule="auto"/>
        <w:rPr>
          <w:rFonts w:eastAsia="仿宋"/>
          <w:b/>
          <w:color w:val="auto"/>
          <w:sz w:val="24"/>
          <w:lang w:bidi="ar"/>
        </w:rPr>
        <w:sectPr>
          <w:footnotePr>
            <w:numFmt w:val="decimalEnclosedCircleChinese"/>
            <w:numRestart w:val="eachPage"/>
          </w:footnotePr>
          <w:type w:val="continuous"/>
          <w:pgSz w:w="11906" w:h="16838"/>
          <w:pgMar w:top="1135" w:right="1135" w:bottom="1135" w:left="1135" w:header="851" w:footer="851" w:gutter="0"/>
          <w:cols w:space="720" w:num="1"/>
          <w:docGrid w:type="lines" w:linePitch="312" w:charSpace="0"/>
        </w:sectPr>
      </w:pPr>
    </w:p>
    <w:p w14:paraId="1CAEEEFB">
      <w:pPr>
        <w:widowControl/>
        <w:spacing w:line="400" w:lineRule="exact"/>
        <w:rPr>
          <w:rFonts w:eastAsia="仿宋"/>
          <w:color w:val="auto"/>
        </w:rPr>
      </w:pPr>
    </w:p>
    <w:p w14:paraId="7E12E753">
      <w:pPr>
        <w:rPr>
          <w:rFonts w:eastAsia="仿宋"/>
          <w:color w:val="auto"/>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36415AAE">
      <w:pPr>
        <w:rPr>
          <w:color w:val="auto"/>
        </w:rPr>
      </w:pPr>
      <w:bookmarkStart w:id="533" w:name="_Toc466024582"/>
      <w:bookmarkStart w:id="534" w:name="_Toc22281"/>
      <w:bookmarkStart w:id="535" w:name="_Toc445554783"/>
      <w:bookmarkStart w:id="536" w:name="_Toc177181404"/>
      <w:bookmarkStart w:id="537" w:name="_Toc176780575"/>
      <w:bookmarkStart w:id="538" w:name="_Toc256955329"/>
      <w:bookmarkStart w:id="539" w:name="_Toc152696791"/>
      <w:bookmarkStart w:id="540" w:name="_Toc138323410"/>
      <w:bookmarkStart w:id="541" w:name="_Toc139194404"/>
      <w:bookmarkStart w:id="542" w:name="_Toc192231354"/>
      <w:bookmarkStart w:id="543" w:name="_Toc153485042"/>
      <w:bookmarkStart w:id="544" w:name="_Toc256434217"/>
      <w:bookmarkStart w:id="545" w:name="_Toc221418700"/>
      <w:bookmarkStart w:id="546" w:name="_Toc176927207"/>
      <w:bookmarkStart w:id="547" w:name="_Toc162406884"/>
      <w:bookmarkStart w:id="548" w:name="_Toc162331289"/>
      <w:bookmarkStart w:id="549" w:name="_Toc256409867"/>
      <w:bookmarkStart w:id="550" w:name="_Toc153636085"/>
      <w:bookmarkStart w:id="551" w:name="_Toc153634810"/>
      <w:bookmarkStart w:id="552" w:name="_Toc201377864"/>
      <w:bookmarkStart w:id="553" w:name="_Toc165463683"/>
      <w:bookmarkStart w:id="554" w:name="_Toc162410278"/>
      <w:bookmarkStart w:id="555" w:name="_Toc255490647"/>
      <w:bookmarkStart w:id="556" w:name="_Toc138638816"/>
      <w:bookmarkStart w:id="557" w:name="_Toc153630652"/>
      <w:bookmarkStart w:id="558" w:name="_Toc199585022"/>
      <w:bookmarkStart w:id="559" w:name="_Toc153635713"/>
    </w:p>
    <w:p w14:paraId="0440A50C">
      <w:pPr>
        <w:pStyle w:val="2"/>
        <w:keepNext w:val="0"/>
        <w:widowControl/>
        <w:spacing w:before="0" w:after="0" w:line="240" w:lineRule="auto"/>
        <w:jc w:val="center"/>
        <w:rPr>
          <w:rFonts w:ascii="Calibri" w:hAnsi="Calibri" w:eastAsia="仿宋"/>
          <w:color w:val="auto"/>
        </w:rPr>
      </w:pPr>
      <w:r>
        <w:rPr>
          <w:rFonts w:hint="eastAsia" w:ascii="Calibri" w:hAnsi="Calibri" w:eastAsia="仿宋" w:cs="仿宋"/>
          <w:color w:val="auto"/>
        </w:rPr>
        <w:t>第五章</w:t>
      </w:r>
      <w:r>
        <w:rPr>
          <w:rFonts w:ascii="Calibri" w:hAnsi="Calibri" w:eastAsia="仿宋"/>
          <w:color w:val="auto"/>
        </w:rPr>
        <w:t xml:space="preserve">  </w:t>
      </w:r>
      <w:r>
        <w:rPr>
          <w:rFonts w:hint="eastAsia" w:ascii="Calibri" w:hAnsi="Calibri" w:eastAsia="仿宋" w:cs="仿宋"/>
          <w:color w:val="auto"/>
        </w:rPr>
        <w:t>合同条款及格式</w:t>
      </w:r>
      <w:bookmarkEnd w:id="533"/>
      <w:bookmarkEnd w:id="534"/>
      <w:bookmarkEnd w:id="535"/>
    </w:p>
    <w:p w14:paraId="0104D56B">
      <w:pPr>
        <w:spacing w:line="360" w:lineRule="auto"/>
        <w:rPr>
          <w:rFonts w:hint="eastAsia" w:ascii="宋体" w:hAnsi="宋体" w:eastAsia="仿宋"/>
          <w:color w:val="auto"/>
          <w:sz w:val="24"/>
          <w:u w:val="single"/>
        </w:rPr>
      </w:pPr>
      <w:r>
        <w:rPr>
          <w:rFonts w:hint="eastAsia" w:ascii="宋体" w:hAnsi="宋体" w:eastAsia="仿宋"/>
          <w:color w:val="auto"/>
          <w:sz w:val="24"/>
        </w:rPr>
        <w:t>甲方：</w:t>
      </w:r>
      <w:r>
        <w:rPr>
          <w:rFonts w:hint="eastAsia" w:ascii="宋体" w:hAnsi="宋体" w:eastAsia="仿宋"/>
          <w:color w:val="auto"/>
          <w:sz w:val="24"/>
          <w:u w:val="single"/>
        </w:rPr>
        <w:t xml:space="preserve">                </w:t>
      </w:r>
    </w:p>
    <w:p w14:paraId="416D52DE">
      <w:pPr>
        <w:spacing w:line="360" w:lineRule="auto"/>
        <w:rPr>
          <w:rFonts w:hint="eastAsia" w:ascii="宋体" w:hAnsi="宋体" w:eastAsia="仿宋"/>
          <w:color w:val="auto"/>
          <w:sz w:val="24"/>
        </w:rPr>
      </w:pPr>
      <w:r>
        <w:rPr>
          <w:rFonts w:hint="eastAsia" w:ascii="宋体" w:hAnsi="宋体" w:eastAsia="仿宋"/>
          <w:color w:val="auto"/>
          <w:sz w:val="24"/>
        </w:rPr>
        <w:t>乙方：</w:t>
      </w:r>
      <w:r>
        <w:rPr>
          <w:rFonts w:hint="eastAsia" w:ascii="宋体" w:hAnsi="宋体" w:eastAsia="仿宋"/>
          <w:color w:val="auto"/>
          <w:sz w:val="24"/>
          <w:u w:val="single"/>
        </w:rPr>
        <w:t xml:space="preserve">                </w:t>
      </w:r>
    </w:p>
    <w:p w14:paraId="1043B80B">
      <w:pPr>
        <w:spacing w:line="360" w:lineRule="auto"/>
        <w:rPr>
          <w:rFonts w:hint="eastAsia" w:ascii="宋体" w:hAnsi="宋体" w:eastAsia="仿宋"/>
          <w:color w:val="auto"/>
          <w:sz w:val="24"/>
        </w:rPr>
      </w:pPr>
    </w:p>
    <w:p w14:paraId="422EA8B6">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u w:val="single"/>
        </w:rPr>
        <w:t xml:space="preserve">          </w:t>
      </w:r>
      <w:r>
        <w:rPr>
          <w:rFonts w:hint="eastAsia" w:ascii="宋体" w:hAnsi="宋体" w:eastAsia="仿宋"/>
          <w:color w:val="auto"/>
          <w:sz w:val="24"/>
        </w:rPr>
        <w:t>（甲方）就</w:t>
      </w:r>
      <w:r>
        <w:rPr>
          <w:rFonts w:hint="eastAsia" w:ascii="宋体" w:hAnsi="宋体" w:eastAsia="仿宋"/>
          <w:color w:val="auto"/>
          <w:sz w:val="24"/>
          <w:u w:val="single"/>
        </w:rPr>
        <w:t xml:space="preserve">         </w:t>
      </w:r>
      <w:r>
        <w:rPr>
          <w:rFonts w:hint="eastAsia" w:ascii="宋体" w:hAnsi="宋体" w:eastAsia="仿宋"/>
          <w:color w:val="auto"/>
          <w:sz w:val="24"/>
        </w:rPr>
        <w:t>（项目名称）采用竞争性磋商采购方式选择</w:t>
      </w:r>
      <w:r>
        <w:rPr>
          <w:rFonts w:hint="eastAsia" w:ascii="宋体" w:hAnsi="宋体" w:eastAsia="仿宋"/>
          <w:color w:val="auto"/>
          <w:sz w:val="24"/>
          <w:u w:val="single"/>
        </w:rPr>
        <w:t xml:space="preserve">    </w:t>
      </w:r>
      <w:r>
        <w:rPr>
          <w:rFonts w:hint="eastAsia" w:ascii="宋体" w:hAnsi="宋体" w:eastAsia="仿宋"/>
          <w:color w:val="auto"/>
          <w:sz w:val="24"/>
        </w:rPr>
        <w:t>（乙方）作为服务单位。现甲乙双方协商同意签订本合同。</w:t>
      </w:r>
    </w:p>
    <w:p w14:paraId="3C2E7E8E">
      <w:pPr>
        <w:pStyle w:val="4"/>
        <w:rPr>
          <w:rFonts w:eastAsia="仿宋"/>
          <w:color w:val="auto"/>
        </w:rPr>
      </w:pPr>
      <w:r>
        <w:rPr>
          <w:rFonts w:eastAsia="仿宋"/>
          <w:color w:val="auto"/>
        </w:rPr>
        <w:t>1. 合同文件</w:t>
      </w:r>
    </w:p>
    <w:p w14:paraId="5FCD5448">
      <w:pPr>
        <w:snapToGrid w:val="0"/>
        <w:spacing w:line="360" w:lineRule="auto"/>
        <w:ind w:firstLine="480" w:firstLineChars="200"/>
        <w:rPr>
          <w:rFonts w:hint="eastAsia" w:ascii="宋体" w:hAnsi="宋体" w:eastAsia="仿宋"/>
          <w:color w:val="auto"/>
          <w:sz w:val="24"/>
        </w:rPr>
      </w:pPr>
      <w:r>
        <w:rPr>
          <w:rFonts w:ascii="宋体" w:hAnsi="宋体" w:eastAsia="仿宋"/>
          <w:color w:val="auto"/>
          <w:sz w:val="24"/>
        </w:rPr>
        <w:t>下列与本次采购活动</w:t>
      </w:r>
      <w:r>
        <w:rPr>
          <w:rFonts w:hint="eastAsia" w:ascii="宋体" w:hAnsi="宋体" w:eastAsia="仿宋"/>
          <w:color w:val="auto"/>
          <w:sz w:val="24"/>
        </w:rPr>
        <w:t>有关</w:t>
      </w:r>
      <w:r>
        <w:rPr>
          <w:rFonts w:ascii="宋体" w:hAnsi="宋体" w:eastAsia="仿宋"/>
          <w:color w:val="auto"/>
          <w:sz w:val="24"/>
        </w:rPr>
        <w:t>的文件及附件是本合同不可分割的组成部分，与本合同具有同等法律效力，这些文件包括但不限于：</w:t>
      </w:r>
    </w:p>
    <w:p w14:paraId="15D714FF">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（1）采购文件及附件</w:t>
      </w:r>
    </w:p>
    <w:p w14:paraId="3D4BA003">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（2）响应文件及附件</w:t>
      </w:r>
    </w:p>
    <w:p w14:paraId="0685D708">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（3）合同补充条款或说明</w:t>
      </w:r>
    </w:p>
    <w:p w14:paraId="7F3FDE05">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（4）相关附件、图纸及电子版资料</w:t>
      </w:r>
    </w:p>
    <w:p w14:paraId="7BB996E5">
      <w:pPr>
        <w:pStyle w:val="4"/>
        <w:rPr>
          <w:rFonts w:eastAsia="仿宋"/>
          <w:color w:val="auto"/>
        </w:rPr>
      </w:pPr>
      <w:r>
        <w:rPr>
          <w:rFonts w:eastAsia="仿宋"/>
          <w:color w:val="auto"/>
        </w:rPr>
        <w:t>2. 服务内容</w:t>
      </w:r>
    </w:p>
    <w:p w14:paraId="28AD9AA2">
      <w:pPr>
        <w:adjustRightInd w:val="0"/>
        <w:snapToGrid w:val="0"/>
        <w:spacing w:line="360" w:lineRule="auto"/>
        <w:ind w:firstLine="480" w:firstLineChars="200"/>
        <w:rPr>
          <w:rFonts w:eastAsia="仿宋"/>
          <w:color w:val="auto"/>
          <w:sz w:val="24"/>
        </w:rPr>
      </w:pPr>
      <w:r>
        <w:rPr>
          <w:rFonts w:hint="eastAsia" w:eastAsia="仿宋"/>
          <w:color w:val="auto"/>
          <w:sz w:val="24"/>
        </w:rPr>
        <w:t xml:space="preserve">甲方委托乙方提供以下服务： </w:t>
      </w:r>
    </w:p>
    <w:p w14:paraId="0B3BE592">
      <w:pPr>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2.1 服务名称：</w:t>
      </w:r>
      <w:r>
        <w:rPr>
          <w:rFonts w:hint="eastAsia" w:ascii="宋体" w:hAnsi="宋体" w:eastAsia="仿宋"/>
          <w:color w:val="auto"/>
          <w:sz w:val="24"/>
          <w:u w:val="single"/>
        </w:rPr>
        <w:t xml:space="preserve">                          </w:t>
      </w:r>
      <w:r>
        <w:rPr>
          <w:rFonts w:hint="eastAsia" w:ascii="宋体" w:hAnsi="宋体" w:eastAsia="仿宋"/>
          <w:color w:val="auto"/>
          <w:sz w:val="24"/>
        </w:rPr>
        <w:t>。</w:t>
      </w:r>
    </w:p>
    <w:p w14:paraId="4EE2FC2E">
      <w:pPr>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2.2 服务内容：</w:t>
      </w:r>
      <w:r>
        <w:rPr>
          <w:rFonts w:hint="eastAsia" w:ascii="宋体" w:hAnsi="宋体" w:eastAsia="仿宋"/>
          <w:color w:val="auto"/>
          <w:sz w:val="24"/>
          <w:u w:val="single"/>
        </w:rPr>
        <w:t xml:space="preserve">                          </w:t>
      </w:r>
      <w:r>
        <w:rPr>
          <w:rFonts w:hint="eastAsia" w:ascii="宋体" w:hAnsi="宋体" w:eastAsia="仿宋"/>
          <w:color w:val="auto"/>
          <w:sz w:val="24"/>
        </w:rPr>
        <w:t>。</w:t>
      </w:r>
    </w:p>
    <w:p w14:paraId="25A59B48">
      <w:pPr>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2.3 服务要求：</w:t>
      </w:r>
      <w:r>
        <w:rPr>
          <w:rFonts w:hint="eastAsia" w:ascii="宋体" w:hAnsi="宋体" w:eastAsia="仿宋"/>
          <w:color w:val="auto"/>
          <w:sz w:val="24"/>
          <w:u w:val="single"/>
        </w:rPr>
        <w:t xml:space="preserve">                          </w:t>
      </w:r>
      <w:r>
        <w:rPr>
          <w:rFonts w:hint="eastAsia" w:ascii="宋体" w:hAnsi="宋体" w:eastAsia="仿宋"/>
          <w:color w:val="auto"/>
          <w:sz w:val="24"/>
        </w:rPr>
        <w:t>。</w:t>
      </w:r>
    </w:p>
    <w:p w14:paraId="25EA5530">
      <w:pPr>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2.4 服务期限：</w:t>
      </w:r>
      <w:r>
        <w:rPr>
          <w:rFonts w:hint="eastAsia" w:ascii="宋体" w:hAnsi="宋体" w:eastAsia="仿宋"/>
          <w:color w:val="auto"/>
          <w:sz w:val="24"/>
          <w:u w:val="single"/>
        </w:rPr>
        <w:t xml:space="preserve">                          </w:t>
      </w:r>
      <w:r>
        <w:rPr>
          <w:rFonts w:hint="eastAsia" w:ascii="宋体" w:hAnsi="宋体" w:eastAsia="仿宋"/>
          <w:color w:val="auto"/>
          <w:sz w:val="24"/>
        </w:rPr>
        <w:t>。</w:t>
      </w:r>
    </w:p>
    <w:p w14:paraId="6085A0B6">
      <w:pPr>
        <w:adjustRightInd w:val="0"/>
        <w:snapToGrid w:val="0"/>
        <w:spacing w:line="360" w:lineRule="auto"/>
        <w:ind w:firstLine="480" w:firstLineChars="200"/>
        <w:rPr>
          <w:rFonts w:hint="eastAsia" w:ascii="宋体" w:hAnsi="宋体" w:eastAsia="仿宋"/>
          <w:color w:val="auto"/>
          <w:sz w:val="24"/>
        </w:rPr>
      </w:pPr>
      <w:r>
        <w:rPr>
          <w:rFonts w:ascii="宋体" w:hAnsi="宋体" w:eastAsia="仿宋"/>
          <w:color w:val="auto"/>
          <w:sz w:val="24"/>
        </w:rPr>
        <w:t>…</w:t>
      </w:r>
    </w:p>
    <w:p w14:paraId="40F2F459">
      <w:pPr>
        <w:pStyle w:val="4"/>
        <w:rPr>
          <w:rFonts w:eastAsia="仿宋"/>
          <w:color w:val="auto"/>
        </w:rPr>
      </w:pPr>
      <w:r>
        <w:rPr>
          <w:rFonts w:eastAsia="仿宋"/>
          <w:color w:val="auto"/>
        </w:rPr>
        <w:t>3. 合同价格</w:t>
      </w:r>
    </w:p>
    <w:p w14:paraId="43545D75">
      <w:pPr>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3.1 合同价格为（大写）：</w:t>
      </w:r>
      <w:r>
        <w:rPr>
          <w:rFonts w:hint="eastAsia" w:ascii="宋体" w:hAnsi="宋体" w:eastAsia="仿宋"/>
          <w:color w:val="auto"/>
          <w:sz w:val="24"/>
          <w:u w:val="single"/>
        </w:rPr>
        <w:t xml:space="preserve">                 </w:t>
      </w:r>
      <w:r>
        <w:rPr>
          <w:rFonts w:hint="eastAsia" w:ascii="宋体" w:hAnsi="宋体" w:eastAsia="仿宋"/>
          <w:color w:val="auto"/>
          <w:sz w:val="24"/>
        </w:rPr>
        <w:t xml:space="preserve"> 元（￥</w:t>
      </w:r>
      <w:r>
        <w:rPr>
          <w:rFonts w:hint="eastAsia" w:ascii="宋体" w:hAnsi="宋体" w:eastAsia="仿宋"/>
          <w:color w:val="auto"/>
          <w:sz w:val="24"/>
          <w:u w:val="single"/>
        </w:rPr>
        <w:t xml:space="preserve">         </w:t>
      </w:r>
      <w:r>
        <w:rPr>
          <w:rFonts w:hint="eastAsia" w:ascii="宋体" w:hAnsi="宋体" w:eastAsia="仿宋"/>
          <w:color w:val="auto"/>
          <w:sz w:val="24"/>
        </w:rPr>
        <w:t>元）人民币。</w:t>
      </w:r>
    </w:p>
    <w:p w14:paraId="566A6D48">
      <w:pPr>
        <w:snapToGrid w:val="0"/>
        <w:spacing w:line="360" w:lineRule="auto"/>
        <w:ind w:firstLine="480" w:firstLineChars="200"/>
        <w:rPr>
          <w:rFonts w:hint="eastAsia" w:ascii="宋体" w:hAnsi="宋体" w:eastAsia="仿宋"/>
          <w:color w:val="auto"/>
          <w:sz w:val="24"/>
          <w:u w:val="single"/>
        </w:rPr>
      </w:pPr>
      <w:r>
        <w:rPr>
          <w:rFonts w:hint="eastAsia" w:ascii="宋体" w:hAnsi="宋体" w:eastAsia="仿宋"/>
          <w:color w:val="auto"/>
          <w:sz w:val="24"/>
        </w:rPr>
        <w:t>3.2 合同价格包括的内容：</w:t>
      </w:r>
      <w:r>
        <w:rPr>
          <w:rFonts w:hint="eastAsia" w:ascii="宋体" w:hAnsi="宋体" w:eastAsia="仿宋"/>
          <w:color w:val="auto"/>
          <w:sz w:val="24"/>
          <w:u w:val="single"/>
        </w:rPr>
        <w:t xml:space="preserve">                       </w:t>
      </w:r>
    </w:p>
    <w:p w14:paraId="0F08400A">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3.3 合同价格调整：</w:t>
      </w:r>
      <w:r>
        <w:rPr>
          <w:rFonts w:hint="eastAsia" w:ascii="宋体" w:hAnsi="宋体" w:eastAsia="仿宋"/>
          <w:color w:val="auto"/>
          <w:sz w:val="24"/>
          <w:u w:val="single"/>
        </w:rPr>
        <w:t xml:space="preserve">  </w:t>
      </w:r>
      <w:r>
        <w:rPr>
          <w:rFonts w:hint="eastAsia" w:ascii="宋体" w:hAnsi="宋体" w:eastAsia="仿宋"/>
          <w:color w:val="auto"/>
          <w:sz w:val="24"/>
          <w:u w:val="single"/>
        </w:rPr>
        <w:t xml:space="preserve">合同价格为固定价格，不予调整 </w:t>
      </w:r>
      <w:r>
        <w:rPr>
          <w:rFonts w:hint="eastAsia" w:ascii="宋体" w:hAnsi="宋体" w:eastAsia="仿宋"/>
          <w:color w:val="auto"/>
          <w:sz w:val="24"/>
          <w:u w:val="single"/>
        </w:rPr>
        <w:t xml:space="preserve">  </w:t>
      </w:r>
      <w:r>
        <w:rPr>
          <w:rFonts w:hint="eastAsia" w:ascii="宋体" w:hAnsi="宋体" w:eastAsia="仿宋"/>
          <w:color w:val="auto"/>
          <w:sz w:val="24"/>
        </w:rPr>
        <w:t>。</w:t>
      </w:r>
    </w:p>
    <w:p w14:paraId="1E257740">
      <w:pPr>
        <w:snapToGrid w:val="0"/>
        <w:spacing w:line="360" w:lineRule="auto"/>
        <w:ind w:firstLine="480" w:firstLineChars="200"/>
        <w:rPr>
          <w:rFonts w:hint="eastAsia" w:ascii="宋体" w:hAnsi="宋体" w:eastAsia="仿宋"/>
          <w:color w:val="auto"/>
          <w:sz w:val="24"/>
        </w:rPr>
      </w:pPr>
      <w:r>
        <w:rPr>
          <w:rFonts w:ascii="宋体" w:hAnsi="宋体" w:eastAsia="仿宋"/>
          <w:color w:val="auto"/>
          <w:sz w:val="24"/>
        </w:rPr>
        <w:t>…</w:t>
      </w:r>
    </w:p>
    <w:p w14:paraId="7A53748E">
      <w:pPr>
        <w:pStyle w:val="4"/>
        <w:rPr>
          <w:rFonts w:eastAsia="仿宋"/>
          <w:color w:val="auto"/>
        </w:rPr>
      </w:pPr>
      <w:r>
        <w:rPr>
          <w:rFonts w:eastAsia="仿宋"/>
          <w:color w:val="auto"/>
        </w:rPr>
        <w:t>4. 付款方式</w:t>
      </w:r>
    </w:p>
    <w:p w14:paraId="28BA3EE5">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4.1 本合同项下所有款项均以人民币支付。</w:t>
      </w:r>
    </w:p>
    <w:p w14:paraId="409C0A83">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4.2 乙方向甲方提交下列文件材料，经甲方审核无误后7个工作日内支付采购资金：</w:t>
      </w:r>
    </w:p>
    <w:p w14:paraId="2031F903">
      <w:pPr>
        <w:snapToGrid w:val="0"/>
        <w:spacing w:line="360" w:lineRule="auto"/>
        <w:ind w:firstLine="480" w:firstLineChars="200"/>
        <w:rPr>
          <w:rFonts w:hint="eastAsia" w:ascii="宋体" w:hAnsi="宋体" w:eastAsia="仿宋"/>
          <w:color w:val="auto"/>
          <w:sz w:val="24"/>
          <w:u w:val="single"/>
        </w:rPr>
      </w:pPr>
      <w:r>
        <w:rPr>
          <w:rFonts w:hint="eastAsia" w:ascii="宋体" w:hAnsi="宋体" w:eastAsia="仿宋"/>
          <w:color w:val="auto"/>
          <w:sz w:val="24"/>
        </w:rPr>
        <w:t>（1）</w:t>
      </w:r>
      <w:r>
        <w:rPr>
          <w:rFonts w:hint="eastAsia" w:ascii="宋体" w:hAnsi="宋体" w:eastAsia="仿宋"/>
          <w:color w:val="auto"/>
          <w:sz w:val="24"/>
          <w:u w:val="single"/>
        </w:rPr>
        <w:t>经甲方确认的发票；</w:t>
      </w:r>
    </w:p>
    <w:p w14:paraId="0C39382F">
      <w:pPr>
        <w:snapToGrid w:val="0"/>
        <w:spacing w:line="360" w:lineRule="auto"/>
        <w:ind w:firstLine="480" w:firstLineChars="200"/>
        <w:rPr>
          <w:rFonts w:hint="eastAsia" w:ascii="宋体" w:hAnsi="宋体" w:eastAsia="仿宋"/>
          <w:color w:val="auto"/>
          <w:sz w:val="24"/>
          <w:u w:val="single"/>
        </w:rPr>
      </w:pPr>
      <w:r>
        <w:rPr>
          <w:rFonts w:hint="eastAsia" w:ascii="宋体" w:hAnsi="宋体" w:eastAsia="仿宋"/>
          <w:color w:val="auto"/>
          <w:sz w:val="24"/>
        </w:rPr>
        <w:t>（2）</w:t>
      </w:r>
      <w:r>
        <w:rPr>
          <w:rFonts w:hint="eastAsia" w:ascii="宋体" w:hAnsi="宋体" w:eastAsia="仿宋"/>
          <w:color w:val="auto"/>
          <w:sz w:val="24"/>
          <w:u w:val="single"/>
        </w:rPr>
        <w:t>经甲乙双方确认签订的合同或《验收报告》（或按项目进度阶段性《验收报告》）；</w:t>
      </w:r>
    </w:p>
    <w:p w14:paraId="6BA1F269">
      <w:pPr>
        <w:snapToGrid w:val="0"/>
        <w:spacing w:line="360" w:lineRule="auto"/>
        <w:ind w:firstLine="480" w:firstLineChars="200"/>
        <w:rPr>
          <w:rFonts w:hint="eastAsia" w:ascii="宋体" w:hAnsi="宋体" w:eastAsia="仿宋"/>
          <w:color w:val="auto"/>
          <w:sz w:val="24"/>
          <w:u w:val="single"/>
        </w:rPr>
      </w:pPr>
      <w:r>
        <w:rPr>
          <w:rFonts w:hint="eastAsia" w:ascii="宋体" w:hAnsi="宋体" w:eastAsia="仿宋"/>
          <w:color w:val="auto"/>
          <w:sz w:val="24"/>
        </w:rPr>
        <w:t>（3）</w:t>
      </w:r>
      <w:r>
        <w:rPr>
          <w:rFonts w:hint="eastAsia" w:ascii="宋体" w:hAnsi="宋体" w:eastAsia="仿宋"/>
          <w:color w:val="auto"/>
          <w:sz w:val="24"/>
          <w:u w:val="single"/>
        </w:rPr>
        <w:t>其他材料。</w:t>
      </w:r>
    </w:p>
    <w:p w14:paraId="13D481B2">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4.3 合同款项的支付进度以采购文件的有关规定为准。如采购文件未作特别规定，则</w:t>
      </w:r>
      <w:bookmarkStart w:id="584" w:name="_GoBack"/>
      <w:r>
        <w:rPr>
          <w:rFonts w:hint="eastAsia" w:ascii="宋体" w:hAnsi="宋体" w:eastAsia="仿宋"/>
          <w:color w:val="auto"/>
          <w:sz w:val="24"/>
        </w:rPr>
        <w:t>付款</w:t>
      </w:r>
      <w:bookmarkEnd w:id="584"/>
      <w:r>
        <w:rPr>
          <w:rFonts w:hint="eastAsia" w:ascii="宋体" w:hAnsi="宋体" w:eastAsia="仿宋"/>
          <w:color w:val="auto"/>
          <w:sz w:val="24"/>
        </w:rPr>
        <w:t>进度应符合如下约定：</w:t>
      </w:r>
    </w:p>
    <w:p w14:paraId="17FCD29D">
      <w:pPr>
        <w:adjustRightInd w:val="0"/>
        <w:snapToGrid w:val="0"/>
        <w:spacing w:line="360" w:lineRule="auto"/>
        <w:ind w:firstLine="480" w:firstLineChars="200"/>
        <w:rPr>
          <w:rFonts w:eastAsia="仿宋"/>
          <w:color w:val="auto"/>
          <w:sz w:val="24"/>
        </w:rPr>
      </w:pPr>
      <w:r>
        <w:rPr>
          <w:rFonts w:hint="eastAsia" w:eastAsia="仿宋"/>
          <w:color w:val="auto"/>
          <w:sz w:val="24"/>
        </w:rPr>
        <w:t xml:space="preserve">按双方最终合同约定执行，可支持阶段性付款（合同签订后支付签约合同价的50%，采购人通过CNAS认定评审，并取得相应资质后，经采购人验收合格后支付签约合同价的50%）。 </w:t>
      </w:r>
    </w:p>
    <w:p w14:paraId="22BF9190">
      <w:pPr>
        <w:pStyle w:val="4"/>
        <w:rPr>
          <w:rFonts w:eastAsia="仿宋"/>
          <w:color w:val="auto"/>
        </w:rPr>
      </w:pPr>
      <w:r>
        <w:rPr>
          <w:rFonts w:eastAsia="仿宋"/>
          <w:color w:val="auto"/>
        </w:rPr>
        <w:t>5. 合同文件和资料的使用</w:t>
      </w:r>
    </w:p>
    <w:p w14:paraId="5275DCAD">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5.1 没有甲方书面同意，乙方不得将甲方或代表甲方提供的有关合同或任何合同条文、技术规格和要求、计划、图纸、模型、样品或资料提供给与履行本合同无关的任何其他人。即使向与履行本合同有关的人员提供，也应注意保密并限于履行合同必须的范围。</w:t>
      </w:r>
    </w:p>
    <w:p w14:paraId="38AF4A1F">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5.2 没有甲方书面同意，除了履行本合同外，乙方不应使用合同条款第5.1款所列举的任何文件和资料。如果甲方有要求，除了合同本身以外，乙方在完成合同后应将这些文件及全部复制件还给甲方。</w:t>
      </w:r>
    </w:p>
    <w:p w14:paraId="26B2A921">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5.3 乙方的技术秘密、商业秘密和声明需要保密的资料和信息，甲方不得为合同以外的目的泄露给他人。</w:t>
      </w:r>
    </w:p>
    <w:p w14:paraId="2C23AB96">
      <w:pPr>
        <w:pStyle w:val="4"/>
        <w:rPr>
          <w:rFonts w:eastAsia="仿宋"/>
          <w:color w:val="auto"/>
        </w:rPr>
      </w:pPr>
      <w:r>
        <w:rPr>
          <w:rFonts w:eastAsia="仿宋"/>
          <w:color w:val="auto"/>
        </w:rPr>
        <w:t>6. 知识产权</w:t>
      </w:r>
    </w:p>
    <w:p w14:paraId="178A6406">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6.1 乙方应保证，甲方使用本合同货物或货物的任何一部分时，免受第三方提出的侵犯其专利权、商标权、著作权或其他知识产权的起诉。</w:t>
      </w:r>
    </w:p>
    <w:p w14:paraId="3D26B9A2">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6.2 如果发生第三方就乙方向甲方提供的本合同项下所涉及的货物及服务对甲方进行侵权指控，乙方应承担由此而引起的一切经济和法律责任。</w:t>
      </w:r>
    </w:p>
    <w:p w14:paraId="3464C61B">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6.3 乙方在投标中采用专利技术的，专利技术的使用费包含在合同总价内。</w:t>
      </w:r>
    </w:p>
    <w:p w14:paraId="18ECC2D8">
      <w:pPr>
        <w:pStyle w:val="4"/>
        <w:rPr>
          <w:rFonts w:eastAsia="仿宋"/>
          <w:color w:val="auto"/>
        </w:rPr>
      </w:pPr>
      <w:r>
        <w:rPr>
          <w:rFonts w:eastAsia="仿宋"/>
          <w:color w:val="auto"/>
        </w:rPr>
        <w:t>7.联络</w:t>
      </w:r>
    </w:p>
    <w:p w14:paraId="78C4FD9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7.1 甲方对乙方的合同履行情况进行督促和检查。</w:t>
      </w:r>
    </w:p>
    <w:p w14:paraId="43F3861D">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7.2 乙方应设乙方代表，负责服务环节的业务协调以及与甲方的联络，并在合同生效后10天内向甲方书面提供乙方代表的姓名、职务、联系方式及授权书。</w:t>
      </w:r>
    </w:p>
    <w:p w14:paraId="4CF1758B">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7.3 乙方代表的变更、撤销应获得甲方的书面认可。甲方有权根据乙方代表的工作情况，提出撤换人员的要求。乙方应根据第 7.2 款的要求尽快重新任命上述人员，在新任人员到位前原乙方代表继续承担第 7.2 款的职责。</w:t>
      </w:r>
    </w:p>
    <w:p w14:paraId="58269F05">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7.4 甲乙双方通过代表联络与履行合同有关事宜均应采用书面形式。</w:t>
      </w:r>
    </w:p>
    <w:p w14:paraId="2E1F1BCF">
      <w:pPr>
        <w:pStyle w:val="4"/>
        <w:rPr>
          <w:rFonts w:eastAsia="仿宋"/>
          <w:color w:val="auto"/>
        </w:rPr>
      </w:pPr>
      <w:r>
        <w:rPr>
          <w:rFonts w:eastAsia="仿宋"/>
          <w:color w:val="auto"/>
        </w:rPr>
        <w:t>8. 计划和报告</w:t>
      </w:r>
    </w:p>
    <w:p w14:paraId="163FF01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8.1 合同签订后</w:t>
      </w:r>
      <w:r>
        <w:rPr>
          <w:rFonts w:hint="eastAsia" w:ascii="宋体" w:hAnsi="宋体" w:eastAsia="仿宋"/>
          <w:color w:val="auto"/>
          <w:sz w:val="24"/>
          <w:u w:val="single"/>
        </w:rPr>
        <w:t xml:space="preserve">  </w:t>
      </w:r>
      <w:r>
        <w:rPr>
          <w:rFonts w:hint="eastAsia" w:ascii="宋体" w:hAnsi="宋体" w:eastAsia="仿宋"/>
          <w:color w:val="auto"/>
          <w:sz w:val="24"/>
        </w:rPr>
        <w:t>日内，乙方向甲方提供服务方案。如甲方认为需要调整，乙方应根据要求修改方案。</w:t>
      </w:r>
    </w:p>
    <w:p w14:paraId="53DA6408">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8.2 乙方应根据供应需求计划，按合同约定的时间向甲方提交进度报告。进度报告应包括：</w:t>
      </w:r>
    </w:p>
    <w:p w14:paraId="6CA3EFC3">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（1）服务安排计划；</w:t>
      </w:r>
    </w:p>
    <w:p w14:paraId="17AFEA5F">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（2）实际完成进度与计划完成进度的比较；</w:t>
      </w:r>
    </w:p>
    <w:p w14:paraId="2FCC17EC">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（3）如果实际进度比计划进度滞后，应给出原因及改进措施。</w:t>
      </w:r>
    </w:p>
    <w:p w14:paraId="6EAF2441">
      <w:pPr>
        <w:pStyle w:val="4"/>
        <w:rPr>
          <w:rFonts w:eastAsia="仿宋"/>
          <w:color w:val="auto"/>
        </w:rPr>
      </w:pPr>
      <w:r>
        <w:rPr>
          <w:rFonts w:eastAsia="仿宋"/>
          <w:color w:val="auto"/>
        </w:rPr>
        <w:t>9. 验收</w:t>
      </w:r>
    </w:p>
    <w:p w14:paraId="77AF8CE3">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9.1甲方对乙方提供的服务进行验收。</w:t>
      </w:r>
    </w:p>
    <w:p w14:paraId="0DB2B4BB">
      <w:pPr>
        <w:snapToGrid w:val="0"/>
        <w:spacing w:line="360" w:lineRule="auto"/>
        <w:ind w:firstLine="480" w:firstLineChars="200"/>
        <w:rPr>
          <w:rFonts w:hint="eastAsia" w:ascii="宋体" w:hAnsi="宋体" w:eastAsia="仿宋"/>
          <w:color w:val="auto"/>
          <w:sz w:val="24"/>
          <w:u w:val="single"/>
        </w:rPr>
      </w:pPr>
      <w:r>
        <w:rPr>
          <w:rFonts w:hint="eastAsia" w:ascii="宋体" w:hAnsi="宋体" w:eastAsia="仿宋"/>
          <w:color w:val="auto"/>
          <w:sz w:val="24"/>
        </w:rPr>
        <w:t xml:space="preserve">  验收时间：</w:t>
      </w:r>
      <w:r>
        <w:rPr>
          <w:rFonts w:hint="eastAsia" w:ascii="宋体" w:hAnsi="宋体" w:eastAsia="仿宋"/>
          <w:color w:val="auto"/>
          <w:sz w:val="24"/>
          <w:u w:val="single"/>
        </w:rPr>
        <w:t xml:space="preserve"> 项目完成且收到乙方验收申请后5个工作日内</w:t>
      </w:r>
      <w:r>
        <w:rPr>
          <w:rFonts w:hint="eastAsia" w:ascii="宋体" w:hAnsi="宋体" w:eastAsia="仿宋"/>
          <w:color w:val="auto"/>
          <w:sz w:val="24"/>
        </w:rPr>
        <w:t>。</w:t>
      </w:r>
    </w:p>
    <w:p w14:paraId="15DAA213">
      <w:pPr>
        <w:snapToGrid w:val="0"/>
        <w:spacing w:line="360" w:lineRule="auto"/>
        <w:ind w:firstLine="720" w:firstLineChars="300"/>
        <w:rPr>
          <w:rFonts w:hint="eastAsia" w:ascii="宋体" w:hAnsi="宋体" w:eastAsia="仿宋"/>
          <w:color w:val="auto"/>
          <w:sz w:val="24"/>
        </w:rPr>
      </w:pPr>
      <w:r>
        <w:rPr>
          <w:rFonts w:hint="eastAsia" w:ascii="宋体" w:hAnsi="宋体" w:eastAsia="仿宋"/>
          <w:color w:val="auto"/>
          <w:sz w:val="24"/>
        </w:rPr>
        <w:t>验收地点：</w:t>
      </w:r>
      <w:r>
        <w:rPr>
          <w:rFonts w:hint="eastAsia" w:ascii="宋体" w:hAnsi="宋体" w:eastAsia="仿宋"/>
          <w:color w:val="auto"/>
          <w:sz w:val="24"/>
          <w:u w:val="single"/>
        </w:rPr>
        <w:t xml:space="preserve">                                          </w:t>
      </w:r>
      <w:r>
        <w:rPr>
          <w:rFonts w:hint="eastAsia" w:ascii="宋体" w:hAnsi="宋体" w:eastAsia="仿宋"/>
          <w:color w:val="auto"/>
          <w:sz w:val="24"/>
        </w:rPr>
        <w:t>。</w:t>
      </w:r>
    </w:p>
    <w:p w14:paraId="3097EE40">
      <w:pPr>
        <w:snapToGrid w:val="0"/>
        <w:spacing w:line="360" w:lineRule="auto"/>
        <w:ind w:firstLine="720" w:firstLineChars="300"/>
        <w:rPr>
          <w:rFonts w:hint="eastAsia" w:ascii="宋体" w:hAnsi="宋体" w:eastAsia="仿宋"/>
          <w:color w:val="auto"/>
          <w:sz w:val="24"/>
        </w:rPr>
      </w:pPr>
      <w:r>
        <w:rPr>
          <w:rFonts w:hint="eastAsia" w:ascii="宋体" w:hAnsi="宋体" w:eastAsia="仿宋"/>
          <w:color w:val="auto"/>
          <w:sz w:val="24"/>
        </w:rPr>
        <w:t>验收方式：</w:t>
      </w:r>
      <w:r>
        <w:rPr>
          <w:rFonts w:hint="eastAsia" w:ascii="宋体" w:hAnsi="宋体" w:eastAsia="仿宋"/>
          <w:color w:val="auto"/>
          <w:sz w:val="24"/>
          <w:u w:val="single"/>
        </w:rPr>
        <w:t xml:space="preserve">                                          </w:t>
      </w:r>
      <w:r>
        <w:rPr>
          <w:rFonts w:hint="eastAsia" w:ascii="宋体" w:hAnsi="宋体" w:eastAsia="仿宋"/>
          <w:color w:val="auto"/>
          <w:sz w:val="24"/>
        </w:rPr>
        <w:t>。</w:t>
      </w:r>
    </w:p>
    <w:p w14:paraId="7413CBE1">
      <w:pPr>
        <w:pStyle w:val="9"/>
        <w:tabs>
          <w:tab w:val="left" w:pos="0"/>
        </w:tabs>
        <w:snapToGrid w:val="0"/>
        <w:spacing w:line="360" w:lineRule="auto"/>
        <w:ind w:firstLine="480" w:firstLineChars="200"/>
        <w:rPr>
          <w:rFonts w:hAnsi="宋体" w:eastAsia="仿宋"/>
          <w:color w:val="auto"/>
          <w:sz w:val="24"/>
          <w:szCs w:val="24"/>
        </w:rPr>
      </w:pPr>
      <w:r>
        <w:rPr>
          <w:rFonts w:hAnsi="宋体" w:eastAsia="仿宋"/>
          <w:color w:val="auto"/>
          <w:sz w:val="24"/>
          <w:szCs w:val="24"/>
        </w:rPr>
        <w:t>9.2 乙方应对提供的服务成果作出全面自查和整理，并列出清单，作为甲方验收和使用的技术条件依据，清单应随提供的服务成果交给甲方。</w:t>
      </w:r>
    </w:p>
    <w:p w14:paraId="5F8FFBED">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9.3 验收时，甲乙双方必须同时在场，</w:t>
      </w:r>
      <w:r>
        <w:rPr>
          <w:rFonts w:ascii="宋体" w:hAnsi="宋体" w:eastAsia="仿宋"/>
          <w:color w:val="auto"/>
          <w:sz w:val="24"/>
        </w:rPr>
        <w:t>乙方所</w:t>
      </w:r>
      <w:r>
        <w:rPr>
          <w:rFonts w:hint="eastAsia" w:ascii="宋体" w:hAnsi="宋体" w:eastAsia="仿宋"/>
          <w:color w:val="auto"/>
          <w:sz w:val="24"/>
        </w:rPr>
        <w:t>提供</w:t>
      </w:r>
      <w:r>
        <w:rPr>
          <w:rFonts w:ascii="宋体" w:hAnsi="宋体" w:eastAsia="仿宋"/>
          <w:color w:val="auto"/>
          <w:sz w:val="24"/>
        </w:rPr>
        <w:t>的</w:t>
      </w:r>
      <w:r>
        <w:rPr>
          <w:rFonts w:hint="eastAsia" w:ascii="宋体" w:hAnsi="宋体" w:eastAsia="仿宋"/>
          <w:color w:val="auto"/>
          <w:sz w:val="24"/>
        </w:rPr>
        <w:t>服务</w:t>
      </w:r>
      <w:r>
        <w:rPr>
          <w:rFonts w:ascii="宋体" w:hAnsi="宋体" w:eastAsia="仿宋"/>
          <w:color w:val="auto"/>
          <w:sz w:val="24"/>
        </w:rPr>
        <w:t>不符合合同</w:t>
      </w:r>
      <w:r>
        <w:rPr>
          <w:rFonts w:hint="eastAsia" w:ascii="宋体" w:hAnsi="宋体" w:eastAsia="仿宋"/>
          <w:color w:val="auto"/>
          <w:sz w:val="24"/>
        </w:rPr>
        <w:t>内容</w:t>
      </w:r>
      <w:r>
        <w:rPr>
          <w:rFonts w:ascii="宋体" w:hAnsi="宋体" w:eastAsia="仿宋"/>
          <w:color w:val="auto"/>
          <w:sz w:val="24"/>
        </w:rPr>
        <w:t>规定的，甲方有权</w:t>
      </w:r>
      <w:r>
        <w:rPr>
          <w:rFonts w:hint="eastAsia" w:ascii="宋体" w:hAnsi="宋体" w:eastAsia="仿宋"/>
          <w:color w:val="auto"/>
          <w:sz w:val="24"/>
        </w:rPr>
        <w:t>拒绝验收。乙方应及时按本合同内容规定和甲方要求免费进行整改，直至验收合格，方视为乙方按本合同规定完成服务</w:t>
      </w:r>
      <w:r>
        <w:rPr>
          <w:rFonts w:ascii="宋体" w:hAnsi="宋体" w:eastAsia="仿宋"/>
          <w:color w:val="auto"/>
          <w:sz w:val="24"/>
        </w:rPr>
        <w:t>。</w:t>
      </w:r>
      <w:r>
        <w:rPr>
          <w:rFonts w:hint="eastAsia" w:ascii="宋体" w:hAnsi="宋体" w:eastAsia="仿宋"/>
          <w:color w:val="auto"/>
          <w:sz w:val="24"/>
        </w:rPr>
        <w:t>验收合格的，由双方共同签订《验收报告》。在经过两次限期整改后，服务仍达不到合同文件规定内容的，甲方有权拒收，并可以解除合同；由此引起甲方损失及赔偿责任由乙方承担。</w:t>
      </w:r>
    </w:p>
    <w:p w14:paraId="7B0BAEBF">
      <w:pPr>
        <w:snapToGrid w:val="0"/>
        <w:spacing w:line="360" w:lineRule="auto"/>
        <w:ind w:firstLine="482"/>
        <w:textAlignment w:val="baseline"/>
        <w:rPr>
          <w:rFonts w:hint="eastAsia" w:ascii="宋体" w:hAnsi="宋体" w:eastAsia="仿宋"/>
          <w:color w:val="auto"/>
          <w:sz w:val="24"/>
        </w:rPr>
      </w:pPr>
      <w:r>
        <w:rPr>
          <w:rFonts w:hint="eastAsia" w:ascii="宋体" w:hAnsi="宋体" w:eastAsia="仿宋"/>
          <w:color w:val="auto"/>
          <w:sz w:val="24"/>
        </w:rPr>
        <w:t>9.4 甲方可以视项目规模或复杂情况聘请专业人员参与验收，</w:t>
      </w:r>
      <w:r>
        <w:rPr>
          <w:rFonts w:ascii="宋体" w:hAnsi="宋体" w:eastAsia="仿宋"/>
          <w:color w:val="auto"/>
          <w:sz w:val="24"/>
        </w:rPr>
        <w:t>大型或复杂项目</w:t>
      </w:r>
      <w:r>
        <w:rPr>
          <w:rFonts w:hint="eastAsia" w:ascii="宋体" w:hAnsi="宋体" w:eastAsia="仿宋"/>
          <w:color w:val="auto"/>
          <w:sz w:val="24"/>
        </w:rPr>
        <w:t>，以及涉及专业服务内容的应当</w:t>
      </w:r>
      <w:r>
        <w:rPr>
          <w:rFonts w:ascii="宋体" w:hAnsi="宋体" w:eastAsia="仿宋"/>
          <w:color w:val="auto"/>
          <w:sz w:val="24"/>
        </w:rPr>
        <w:t>邀请国家认可的第三方质量检测机构参与验收。</w:t>
      </w:r>
    </w:p>
    <w:p w14:paraId="7A64E085">
      <w:pPr>
        <w:snapToGrid w:val="0"/>
        <w:spacing w:line="360" w:lineRule="auto"/>
        <w:ind w:firstLine="482"/>
        <w:textAlignment w:val="baseline"/>
        <w:rPr>
          <w:rFonts w:hint="eastAsia" w:ascii="宋体" w:hAnsi="宋体" w:eastAsia="仿宋"/>
          <w:color w:val="auto"/>
          <w:sz w:val="24"/>
        </w:rPr>
      </w:pPr>
      <w:r>
        <w:rPr>
          <w:rFonts w:hint="eastAsia" w:ascii="宋体" w:hAnsi="宋体" w:eastAsia="仿宋"/>
          <w:color w:val="auto"/>
          <w:sz w:val="24"/>
        </w:rPr>
        <w:t>9.5 如项目实施情况需要分阶段验收，则根据实际情况分阶段出具《验收报告》。</w:t>
      </w:r>
    </w:p>
    <w:p w14:paraId="70E7B435">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9.6 如果合同双方对《验收报告》有分歧，双方须于出现分歧后</w:t>
      </w:r>
      <w:r>
        <w:rPr>
          <w:rFonts w:hint="eastAsia" w:ascii="宋体" w:hAnsi="宋体" w:eastAsia="仿宋"/>
          <w:color w:val="auto"/>
          <w:sz w:val="24"/>
          <w:u w:val="single"/>
        </w:rPr>
        <w:t xml:space="preserve">    </w:t>
      </w:r>
      <w:r>
        <w:rPr>
          <w:rFonts w:hint="eastAsia" w:ascii="宋体" w:hAnsi="宋体" w:eastAsia="仿宋"/>
          <w:color w:val="auto"/>
          <w:sz w:val="24"/>
        </w:rPr>
        <w:t>天内给对方书面声明，以陈述理由及要求，并附有关证据。也可以邀请国家认可的质量检测机构或甲乙双方认可的第三方机构对服务进行鉴定。服务符合标准的，鉴定费由和误期责任甲方承担；不符合质量标准的，鉴定费由和误期责任乙方承担。</w:t>
      </w:r>
    </w:p>
    <w:p w14:paraId="713A63AB">
      <w:pPr>
        <w:pStyle w:val="4"/>
        <w:rPr>
          <w:rFonts w:eastAsia="仿宋"/>
          <w:color w:val="auto"/>
        </w:rPr>
      </w:pPr>
      <w:r>
        <w:rPr>
          <w:rFonts w:eastAsia="仿宋"/>
          <w:color w:val="auto"/>
        </w:rPr>
        <w:t>10. 分包、转包</w:t>
      </w:r>
    </w:p>
    <w:p w14:paraId="1930937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10.1除甲方事先书面同意外，乙方不得部分或全部转让其应履行的合同义务。</w:t>
      </w:r>
    </w:p>
    <w:p w14:paraId="04D6E2C8">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10.2除甲方事先书面同意外，乙方不得改变在投标文件中提出的分包项目和建议的分包人（如果有）。</w:t>
      </w:r>
    </w:p>
    <w:p w14:paraId="38750939">
      <w:pPr>
        <w:pStyle w:val="4"/>
        <w:rPr>
          <w:rFonts w:eastAsia="仿宋"/>
          <w:color w:val="auto"/>
        </w:rPr>
      </w:pPr>
      <w:r>
        <w:rPr>
          <w:rFonts w:eastAsia="仿宋"/>
          <w:color w:val="auto"/>
        </w:rPr>
        <w:t>11. 违约</w:t>
      </w:r>
    </w:p>
    <w:p w14:paraId="7BB018B0">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11.1 乙方违约</w:t>
      </w:r>
    </w:p>
    <w:p w14:paraId="15E35476">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 xml:space="preserve">11.1.1 </w:t>
      </w:r>
      <w:r>
        <w:rPr>
          <w:rFonts w:ascii="宋体" w:hAnsi="宋体" w:eastAsia="仿宋"/>
          <w:color w:val="auto"/>
          <w:sz w:val="24"/>
        </w:rPr>
        <w:t>乙方所交</w:t>
      </w:r>
      <w:r>
        <w:rPr>
          <w:rFonts w:hint="eastAsia" w:ascii="宋体" w:hAnsi="宋体" w:eastAsia="仿宋"/>
          <w:color w:val="auto"/>
          <w:sz w:val="24"/>
        </w:rPr>
        <w:t>付服务成果</w:t>
      </w:r>
      <w:r>
        <w:rPr>
          <w:rFonts w:ascii="宋体" w:hAnsi="宋体" w:eastAsia="仿宋"/>
          <w:color w:val="auto"/>
          <w:sz w:val="24"/>
        </w:rPr>
        <w:t>不符合</w:t>
      </w:r>
      <w:r>
        <w:rPr>
          <w:rFonts w:hint="eastAsia" w:ascii="宋体" w:hAnsi="宋体" w:eastAsia="仿宋"/>
          <w:color w:val="auto"/>
          <w:sz w:val="24"/>
        </w:rPr>
        <w:t>本</w:t>
      </w:r>
      <w:r>
        <w:rPr>
          <w:rFonts w:ascii="宋体" w:hAnsi="宋体" w:eastAsia="仿宋"/>
          <w:color w:val="auto"/>
          <w:sz w:val="24"/>
        </w:rPr>
        <w:t>合同规定的，甲方有权拒收</w:t>
      </w:r>
      <w:r>
        <w:rPr>
          <w:rFonts w:hint="eastAsia" w:ascii="宋体" w:hAnsi="宋体" w:eastAsia="仿宋"/>
          <w:color w:val="auto"/>
          <w:sz w:val="24"/>
        </w:rPr>
        <w:t>，乙方在得到甲方通知之日起</w:t>
      </w:r>
      <w:r>
        <w:rPr>
          <w:rFonts w:hint="eastAsia" w:ascii="宋体" w:hAnsi="宋体" w:eastAsia="仿宋"/>
          <w:color w:val="auto"/>
          <w:sz w:val="24"/>
          <w:u w:val="single"/>
        </w:rPr>
        <w:t>3</w:t>
      </w:r>
      <w:r>
        <w:rPr>
          <w:rFonts w:hint="eastAsia" w:ascii="宋体" w:hAnsi="宋体" w:eastAsia="仿宋"/>
          <w:color w:val="auto"/>
          <w:sz w:val="24"/>
        </w:rPr>
        <w:t>个工作日内采取补救措施，逾期仍未采取有效措施的，甲方有权要求乙方赔偿因此造成的损失或扣留履约保证金；同时乙方应向甲方支付合同总价5％的违约金/次。</w:t>
      </w:r>
    </w:p>
    <w:p w14:paraId="4B824F5C">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 xml:space="preserve">11.1.2 </w:t>
      </w:r>
      <w:r>
        <w:rPr>
          <w:rFonts w:ascii="宋体" w:hAnsi="宋体" w:eastAsia="仿宋"/>
          <w:color w:val="auto"/>
          <w:sz w:val="24"/>
        </w:rPr>
        <w:t>乙方无正当理由逾期交付</w:t>
      </w:r>
      <w:r>
        <w:rPr>
          <w:rFonts w:hint="eastAsia" w:ascii="宋体" w:hAnsi="宋体" w:eastAsia="仿宋"/>
          <w:color w:val="auto"/>
          <w:sz w:val="24"/>
        </w:rPr>
        <w:t>服务</w:t>
      </w:r>
      <w:r>
        <w:rPr>
          <w:rFonts w:ascii="宋体" w:hAnsi="宋体" w:eastAsia="仿宋"/>
          <w:color w:val="auto"/>
          <w:sz w:val="24"/>
        </w:rPr>
        <w:t>的，每逾期</w:t>
      </w:r>
      <w:r>
        <w:rPr>
          <w:rFonts w:hint="eastAsia" w:ascii="宋体" w:hAnsi="宋体" w:eastAsia="仿宋"/>
          <w:color w:val="auto"/>
          <w:sz w:val="24"/>
          <w:u w:val="single"/>
        </w:rPr>
        <w:t>1</w:t>
      </w:r>
      <w:r>
        <w:rPr>
          <w:rFonts w:ascii="宋体" w:hAnsi="宋体" w:eastAsia="仿宋"/>
          <w:color w:val="auto"/>
          <w:sz w:val="24"/>
        </w:rPr>
        <w:t>天，乙方向甲方偿付</w:t>
      </w:r>
      <w:r>
        <w:rPr>
          <w:rFonts w:hint="eastAsia" w:ascii="宋体" w:hAnsi="宋体" w:eastAsia="仿宋"/>
          <w:color w:val="auto"/>
          <w:sz w:val="24"/>
        </w:rPr>
        <w:t>合同</w:t>
      </w:r>
      <w:r>
        <w:rPr>
          <w:rFonts w:ascii="宋体" w:hAnsi="宋体" w:eastAsia="仿宋"/>
          <w:color w:val="auto"/>
          <w:sz w:val="24"/>
        </w:rPr>
        <w:t>总额的</w:t>
      </w:r>
      <w:r>
        <w:rPr>
          <w:rFonts w:hint="eastAsia" w:ascii="宋体" w:hAnsi="宋体" w:eastAsia="仿宋"/>
          <w:color w:val="auto"/>
          <w:sz w:val="24"/>
          <w:u w:val="single"/>
        </w:rPr>
        <w:t xml:space="preserve"> 1 </w:t>
      </w:r>
      <w:r>
        <w:rPr>
          <w:rFonts w:ascii="宋体" w:hAnsi="宋体" w:eastAsia="仿宋"/>
          <w:color w:val="auto"/>
          <w:sz w:val="24"/>
        </w:rPr>
        <w:t>‰的</w:t>
      </w:r>
      <w:r>
        <w:rPr>
          <w:rFonts w:hint="eastAsia" w:ascii="宋体" w:hAnsi="宋体" w:eastAsia="仿宋"/>
          <w:color w:val="auto"/>
          <w:sz w:val="24"/>
        </w:rPr>
        <w:t>违约</w:t>
      </w:r>
      <w:r>
        <w:rPr>
          <w:rFonts w:ascii="宋体" w:hAnsi="宋体" w:eastAsia="仿宋"/>
          <w:color w:val="auto"/>
          <w:sz w:val="24"/>
        </w:rPr>
        <w:t>金</w:t>
      </w:r>
      <w:r>
        <w:rPr>
          <w:rFonts w:hint="eastAsia" w:ascii="宋体" w:hAnsi="宋体" w:eastAsia="仿宋"/>
          <w:color w:val="auto"/>
          <w:sz w:val="24"/>
        </w:rPr>
        <w:t>，但累计误期违约金总额不超过合同总额的10％。如乙方逾期达30天或达到误期违约金最高限额时，甲方有权解除合同，甲方解除合同的通知自到达乙方时生效。在此情况下，乙方给甲方造成的实际损失高于违约金的，对高出违约金的部分乙方应予以赔偿。</w:t>
      </w:r>
    </w:p>
    <w:p w14:paraId="69F28E98">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11.2 甲方违约</w:t>
      </w:r>
    </w:p>
    <w:p w14:paraId="3917ED9F">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11.2.1 甲方无正当理由拒收乙方服务成果，甲方应向乙方支付拒付合同价款3％的违约金/次。</w:t>
      </w:r>
    </w:p>
    <w:p w14:paraId="3257D9B7">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11.2.2 甲方未按合同规定的期限向乙方支付合同款的，每逾期1天甲方向乙方支付逾期价款的</w:t>
      </w:r>
      <w:r>
        <w:rPr>
          <w:rFonts w:hint="eastAsia" w:ascii="宋体" w:hAnsi="宋体" w:eastAsia="仿宋"/>
          <w:color w:val="auto"/>
          <w:sz w:val="24"/>
          <w:u w:val="single"/>
        </w:rPr>
        <w:t xml:space="preserve">1 </w:t>
      </w:r>
      <w:r>
        <w:rPr>
          <w:rFonts w:hint="eastAsia" w:ascii="宋体" w:hAnsi="宋体" w:eastAsia="仿宋"/>
          <w:color w:val="auto"/>
          <w:sz w:val="24"/>
        </w:rPr>
        <w:t>‰违约金，但累计违约金总额不超过逾期价款的</w:t>
      </w:r>
      <w:r>
        <w:rPr>
          <w:rFonts w:hint="eastAsia" w:ascii="宋体" w:hAnsi="宋体" w:eastAsia="仿宋"/>
          <w:color w:val="auto"/>
          <w:sz w:val="24"/>
          <w:u w:val="single"/>
        </w:rPr>
        <w:t>10</w:t>
      </w:r>
      <w:r>
        <w:rPr>
          <w:rFonts w:hint="eastAsia" w:ascii="宋体" w:hAnsi="宋体" w:eastAsia="仿宋"/>
          <w:color w:val="auto"/>
          <w:sz w:val="24"/>
        </w:rPr>
        <w:t>％。</w:t>
      </w:r>
    </w:p>
    <w:p w14:paraId="12430D06">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11.3 其它未尽事宜，以《民法典》和《政府采购法》等有关法律法规规定为准，无相关规定的，双方协商解决。</w:t>
      </w:r>
    </w:p>
    <w:p w14:paraId="3C1D1D03">
      <w:pPr>
        <w:pStyle w:val="4"/>
        <w:rPr>
          <w:rFonts w:eastAsia="仿宋"/>
          <w:color w:val="auto"/>
        </w:rPr>
      </w:pPr>
      <w:r>
        <w:rPr>
          <w:rFonts w:eastAsia="仿宋"/>
          <w:color w:val="auto"/>
        </w:rPr>
        <w:t>12. 合同解除</w:t>
      </w:r>
    </w:p>
    <w:p w14:paraId="1BFF6003">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12.1 乙方违约时合同解除</w:t>
      </w:r>
    </w:p>
    <w:p w14:paraId="08AED9F5">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12.1.1 发生下列情形时，在甲方对乙方违约提出警告无效的情况下，甲方可以书面形式通知乙方，提出解除合同。</w:t>
      </w:r>
    </w:p>
    <w:p w14:paraId="67124C7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（1）如果乙方未能在合同规定的时间内或未能在包括但不限于甲方同意延长的期限内提供部分或全部合同货物；</w:t>
      </w:r>
    </w:p>
    <w:p w14:paraId="382EA68B">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（2）如果乙方未能履行合同约定的义务；</w:t>
      </w:r>
    </w:p>
    <w:p w14:paraId="1D24CDE2">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12.2 乙方破产时解除合同</w:t>
      </w:r>
    </w:p>
    <w:p w14:paraId="6BE3B533">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如果乙方破产或无清偿债务的能力，导致合同不能履行时，甲方可以以书面形式通知乙方解除合同而不对乙方进行任何补偿。同时该解除合同将不损害或影响甲方已经采取或将要采取的任何行动或补救措施的任何权利。</w:t>
      </w:r>
    </w:p>
    <w:p w14:paraId="6B01A7E1">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12.3 甲方违约解除合同</w:t>
      </w:r>
    </w:p>
    <w:p w14:paraId="386492C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如果甲方无法继续履行或明确表示不履行或实质上已停止履行合同，乙方可以书面形式通知甲方，</w:t>
      </w:r>
      <w:r>
        <w:rPr>
          <w:rFonts w:hint="eastAsia" w:ascii="宋体" w:hAnsi="宋体" w:eastAsia="仿宋"/>
          <w:color w:val="auto"/>
          <w:position w:val="-1"/>
          <w:sz w:val="24"/>
        </w:rPr>
        <w:t>提出解除合同。解除合同不免除甲方承担的违约责任。</w:t>
      </w:r>
    </w:p>
    <w:p w14:paraId="6ED612E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12.4 甲方解除合同后的结清</w:t>
      </w:r>
    </w:p>
    <w:p w14:paraId="1A3C1188">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因乙方违约或破产，甲方提出解除合同的，在甲方通知乙方解除合同</w:t>
      </w:r>
      <w:r>
        <w:rPr>
          <w:rFonts w:hint="eastAsia" w:ascii="宋体" w:hAnsi="宋体" w:eastAsia="仿宋"/>
          <w:color w:val="auto"/>
          <w:sz w:val="24"/>
          <w:u w:val="single"/>
        </w:rPr>
        <w:t>15</w:t>
      </w:r>
      <w:r>
        <w:rPr>
          <w:rFonts w:hint="eastAsia" w:ascii="宋体" w:hAnsi="宋体" w:eastAsia="仿宋"/>
          <w:color w:val="auto"/>
          <w:sz w:val="24"/>
        </w:rPr>
        <w:t>天内，乙方向甲方提交有关资料和凭证，按下列方式结清。</w:t>
      </w:r>
    </w:p>
    <w:p w14:paraId="771363F6">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（1）乙方应将一切与合同有关的并已付款的文件、资料交付给甲方。</w:t>
      </w:r>
    </w:p>
    <w:p w14:paraId="381C1B11">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（2）甲方应清查各项付款和已扣款金额，包括按合同约定的违约扣款，以及由于解除合同给甲方造成损失的违约金额，并做详细说明。</w:t>
      </w:r>
    </w:p>
    <w:p w14:paraId="3E7B61C3">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（4）甲乙双方确认上述往来款项和违约金额后，结清合同价款。</w:t>
      </w:r>
    </w:p>
    <w:p w14:paraId="6DBA973C">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（5）甲乙双方未能就解除合同后的结清达成一致而形成争议的，按合同约定办理。</w:t>
      </w:r>
    </w:p>
    <w:p w14:paraId="5C33FCA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12.5 乙方解除合同的结清</w:t>
      </w:r>
    </w:p>
    <w:p w14:paraId="0FB49BB6">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因甲方违约乙方提出解除合同的，在乙方通知甲方解除合</w:t>
      </w:r>
      <w:r>
        <w:rPr>
          <w:rFonts w:hint="eastAsia" w:ascii="宋体" w:hAnsi="宋体" w:eastAsia="仿宋"/>
          <w:color w:val="auto"/>
          <w:sz w:val="24"/>
        </w:rPr>
        <w:t>同</w:t>
      </w:r>
      <w:r>
        <w:rPr>
          <w:rFonts w:hint="eastAsia" w:ascii="宋体" w:hAnsi="宋体" w:eastAsia="仿宋"/>
          <w:color w:val="auto"/>
          <w:sz w:val="24"/>
          <w:u w:val="single"/>
        </w:rPr>
        <w:t>7</w:t>
      </w:r>
      <w:r>
        <w:rPr>
          <w:rFonts w:hint="eastAsia" w:ascii="宋体" w:hAnsi="宋体" w:eastAsia="仿宋"/>
          <w:color w:val="auto"/>
          <w:sz w:val="24"/>
        </w:rPr>
        <w:t>天内，乙</w:t>
      </w:r>
      <w:r>
        <w:rPr>
          <w:rFonts w:hint="eastAsia" w:ascii="宋体" w:hAnsi="宋体" w:eastAsia="仿宋"/>
          <w:color w:val="auto"/>
          <w:sz w:val="24"/>
        </w:rPr>
        <w:t>方向甲方提交有关资料和凭证，按下列方式结清。</w:t>
      </w:r>
    </w:p>
    <w:p w14:paraId="15D4969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（1）乙方应将一切与合同有关的并已付款的文件、资料交付给甲方。</w:t>
      </w:r>
    </w:p>
    <w:p w14:paraId="007E75E8">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（2）乙方应清查已交付的合同货物金额，甲方已支付的金额，甲方未支付的金额，以及由于解除合同给乙方造成损失的违约金额，并做详细说明。</w:t>
      </w:r>
    </w:p>
    <w:p w14:paraId="36186642">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（3）甲乙双方确认上述往来款项和违约金额后，结清合同价款，甲方应退还质量保证金和履约保证金。</w:t>
      </w:r>
    </w:p>
    <w:p w14:paraId="3911440E">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（4）甲乙双方未能就解除合同后的结清达成一致而形成争议的，按合同约定办理。</w:t>
      </w:r>
    </w:p>
    <w:p w14:paraId="5BE86461">
      <w:pPr>
        <w:pStyle w:val="4"/>
        <w:rPr>
          <w:rFonts w:eastAsia="仿宋"/>
          <w:color w:val="auto"/>
        </w:rPr>
      </w:pPr>
      <w:r>
        <w:rPr>
          <w:rFonts w:eastAsia="仿宋"/>
          <w:color w:val="auto"/>
        </w:rPr>
        <w:t>13. 履约保证金</w:t>
      </w:r>
    </w:p>
    <w:p w14:paraId="7B6BEAE1">
      <w:pPr>
        <w:ind w:firstLine="420" w:firstLineChars="200"/>
        <w:rPr>
          <w:rFonts w:eastAsia="仿宋"/>
          <w:color w:val="auto"/>
        </w:rPr>
      </w:pPr>
      <w:r>
        <w:rPr>
          <w:rFonts w:hint="eastAsia" w:eastAsia="仿宋"/>
          <w:color w:val="auto"/>
        </w:rPr>
        <w:t>本项目不收取。</w:t>
      </w:r>
    </w:p>
    <w:p w14:paraId="227579AC">
      <w:pPr>
        <w:pStyle w:val="4"/>
        <w:rPr>
          <w:rFonts w:eastAsia="仿宋"/>
          <w:color w:val="auto"/>
        </w:rPr>
      </w:pPr>
      <w:r>
        <w:rPr>
          <w:rFonts w:eastAsia="仿宋"/>
          <w:color w:val="auto"/>
        </w:rPr>
        <w:t>14. 不可抗力</w:t>
      </w:r>
    </w:p>
    <w:p w14:paraId="2EAFDDA2">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14.1 如果合同任何一方受诸如战争、严重的火灾、台风、地震、洪水以及任何其他不能预见、不能避免且不能克服的不可抗力事件的影响而无法履行合同项下的任何义务，受影响的一方应将此类事件的发生通知合同另一方，并应在不可抗力事件发生后</w:t>
      </w:r>
      <w:r>
        <w:rPr>
          <w:rFonts w:hint="eastAsia" w:ascii="宋体" w:hAnsi="宋体" w:eastAsia="仿宋"/>
          <w:color w:val="auto"/>
          <w:sz w:val="24"/>
          <w:u w:val="single"/>
        </w:rPr>
        <w:t>7</w:t>
      </w:r>
      <w:r>
        <w:rPr>
          <w:rFonts w:hint="eastAsia" w:ascii="宋体" w:hAnsi="宋体" w:eastAsia="仿宋"/>
          <w:color w:val="auto"/>
          <w:sz w:val="24"/>
        </w:rPr>
        <w:t>天内书面</w:t>
      </w:r>
      <w:r>
        <w:rPr>
          <w:rFonts w:hint="eastAsia" w:ascii="宋体" w:hAnsi="宋体" w:eastAsia="仿宋"/>
          <w:color w:val="auto"/>
          <w:position w:val="-1"/>
          <w:sz w:val="24"/>
        </w:rPr>
        <w:t>说明不可抗力和受阻碍的详细情</w:t>
      </w:r>
      <w:r>
        <w:rPr>
          <w:rFonts w:hint="eastAsia" w:ascii="宋体" w:hAnsi="宋体" w:eastAsia="仿宋"/>
          <w:color w:val="auto"/>
          <w:sz w:val="24"/>
        </w:rPr>
        <w:t>况，并提供必要的证明。</w:t>
      </w:r>
    </w:p>
    <w:p w14:paraId="1622DA84">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14.2 受不可抗力事件影响的合同一方对于不可抗力事件导致的任何合同义务的迟延履行或不能履行不承担责任。但该合同方应尽快将不可抗力事件结束或其影响消除的情况通知合同另一方。双方由此产生的损失不得向对方提出索赔要求，也不承担误期赔偿或终止合同的责任。</w:t>
      </w:r>
    </w:p>
    <w:p w14:paraId="331B3C16">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14.3 合同双方应在不可抗力事件结束或其影响消除后，立即继续履行其合同义务，合同期限也应相应延长。如果不可抗力事件的影响持续超过</w:t>
      </w:r>
      <w:r>
        <w:rPr>
          <w:rFonts w:hint="eastAsia" w:ascii="宋体" w:hAnsi="宋体" w:eastAsia="仿宋"/>
          <w:color w:val="auto"/>
          <w:sz w:val="24"/>
          <w:u w:val="single"/>
        </w:rPr>
        <w:t>7</w:t>
      </w:r>
      <w:r>
        <w:rPr>
          <w:rFonts w:hint="eastAsia" w:ascii="宋体" w:hAnsi="宋体" w:eastAsia="仿宋"/>
          <w:color w:val="auto"/>
          <w:sz w:val="24"/>
        </w:rPr>
        <w:t>天，合同任何一方均有权以书面形式通知对方部分或全部终止合同。</w:t>
      </w:r>
    </w:p>
    <w:p w14:paraId="51B38BA7">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14.4 因不可抗力终止合同的结清参照第 13.5 款规定办理。</w:t>
      </w:r>
    </w:p>
    <w:p w14:paraId="240A28C1">
      <w:pPr>
        <w:pStyle w:val="4"/>
        <w:rPr>
          <w:rFonts w:eastAsia="仿宋"/>
          <w:color w:val="auto"/>
        </w:rPr>
      </w:pPr>
      <w:r>
        <w:rPr>
          <w:rFonts w:eastAsia="仿宋"/>
          <w:color w:val="auto"/>
        </w:rPr>
        <w:t>15. 税费</w:t>
      </w:r>
    </w:p>
    <w:p w14:paraId="027A2F0C">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15.1 按现行税法规定向甲方征收的与本合同有关的一切税费均由甲方负责。</w:t>
      </w:r>
    </w:p>
    <w:p w14:paraId="2820E565">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15.2 按现行税法规定向乙方征收的与本合同有关的一切税费均由乙方负责。</w:t>
      </w:r>
    </w:p>
    <w:p w14:paraId="7F2587AE">
      <w:pPr>
        <w:pStyle w:val="4"/>
        <w:rPr>
          <w:rFonts w:eastAsia="仿宋"/>
          <w:color w:val="auto"/>
        </w:rPr>
      </w:pPr>
      <w:r>
        <w:rPr>
          <w:rFonts w:eastAsia="仿宋"/>
          <w:color w:val="auto"/>
        </w:rPr>
        <w:t>16. 争议的解决</w:t>
      </w:r>
    </w:p>
    <w:p w14:paraId="2E6BD310">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16.1 合同履行过程中出现争议时，甲乙双方应本着公平、合理的原则，及时友好协商解决。如在</w:t>
      </w:r>
      <w:r>
        <w:rPr>
          <w:rFonts w:hint="eastAsia" w:ascii="宋体" w:hAnsi="宋体" w:eastAsia="仿宋"/>
          <w:color w:val="auto"/>
          <w:sz w:val="24"/>
          <w:u w:val="single"/>
        </w:rPr>
        <w:t xml:space="preserve">   </w:t>
      </w:r>
      <w:r>
        <w:rPr>
          <w:rFonts w:hint="eastAsia" w:ascii="宋体" w:hAnsi="宋体" w:eastAsia="仿宋"/>
          <w:color w:val="auto"/>
          <w:sz w:val="24"/>
        </w:rPr>
        <w:t>天内未能解决，</w:t>
      </w:r>
      <w:r>
        <w:rPr>
          <w:rFonts w:ascii="宋体" w:hAnsi="宋体" w:eastAsia="仿宋"/>
          <w:color w:val="auto"/>
          <w:sz w:val="24"/>
        </w:rPr>
        <w:t>按下列第</w:t>
      </w:r>
      <w:r>
        <w:rPr>
          <w:rFonts w:hint="eastAsia" w:ascii="宋体" w:hAnsi="宋体" w:eastAsia="仿宋"/>
          <w:color w:val="auto"/>
          <w:sz w:val="24"/>
          <w:u w:val="single"/>
        </w:rPr>
        <w:t>（2）</w:t>
      </w:r>
      <w:r>
        <w:rPr>
          <w:rFonts w:ascii="宋体" w:hAnsi="宋体" w:eastAsia="仿宋"/>
          <w:color w:val="auto"/>
          <w:sz w:val="24"/>
        </w:rPr>
        <w:t>种方式</w:t>
      </w:r>
      <w:r>
        <w:rPr>
          <w:rFonts w:hint="eastAsia" w:ascii="宋体" w:hAnsi="宋体" w:eastAsia="仿宋"/>
          <w:color w:val="auto"/>
          <w:sz w:val="24"/>
        </w:rPr>
        <w:t>解</w:t>
      </w:r>
      <w:r>
        <w:rPr>
          <w:rFonts w:ascii="宋体" w:hAnsi="宋体" w:eastAsia="仿宋"/>
          <w:color w:val="auto"/>
          <w:sz w:val="24"/>
        </w:rPr>
        <w:t>决：</w:t>
      </w:r>
    </w:p>
    <w:p w14:paraId="01B18DD0">
      <w:pPr>
        <w:spacing w:line="360" w:lineRule="auto"/>
        <w:ind w:firstLine="480" w:firstLineChars="200"/>
        <w:jc w:val="left"/>
        <w:rPr>
          <w:rFonts w:hint="eastAsia" w:ascii="宋体" w:hAnsi="宋体" w:eastAsia="仿宋"/>
          <w:color w:val="auto"/>
          <w:sz w:val="24"/>
        </w:rPr>
      </w:pPr>
      <w:r>
        <w:rPr>
          <w:rFonts w:ascii="宋体" w:hAnsi="宋体" w:eastAsia="仿宋"/>
          <w:color w:val="auto"/>
          <w:sz w:val="24"/>
        </w:rPr>
        <w:t>（1）向</w:t>
      </w:r>
      <w:r>
        <w:rPr>
          <w:rFonts w:hint="eastAsia" w:ascii="宋体" w:hAnsi="宋体" w:eastAsia="仿宋"/>
          <w:color w:val="auto"/>
          <w:sz w:val="24"/>
          <w:u w:val="single"/>
        </w:rPr>
        <w:t>项目所在地</w:t>
      </w:r>
      <w:r>
        <w:rPr>
          <w:rFonts w:ascii="宋体" w:hAnsi="宋体" w:eastAsia="仿宋"/>
          <w:color w:val="auto"/>
          <w:sz w:val="24"/>
        </w:rPr>
        <w:t>仲裁委员会申请仲裁；</w:t>
      </w:r>
    </w:p>
    <w:p w14:paraId="2B3590AD">
      <w:pPr>
        <w:spacing w:line="360" w:lineRule="auto"/>
        <w:ind w:firstLine="480" w:firstLineChars="200"/>
        <w:jc w:val="left"/>
        <w:rPr>
          <w:rFonts w:hint="eastAsia" w:ascii="宋体" w:hAnsi="宋体" w:eastAsia="仿宋"/>
          <w:color w:val="auto"/>
          <w:sz w:val="24"/>
        </w:rPr>
      </w:pPr>
      <w:r>
        <w:rPr>
          <w:rFonts w:ascii="宋体" w:hAnsi="宋体" w:eastAsia="仿宋"/>
          <w:color w:val="auto"/>
          <w:sz w:val="24"/>
        </w:rPr>
        <w:t>（2）向</w:t>
      </w:r>
      <w:r>
        <w:rPr>
          <w:rFonts w:hint="eastAsia" w:ascii="宋体" w:hAnsi="宋体" w:eastAsia="仿宋"/>
          <w:color w:val="auto"/>
          <w:sz w:val="24"/>
          <w:u w:val="single"/>
        </w:rPr>
        <w:t>甲方所在地的有管辖权</w:t>
      </w:r>
      <w:r>
        <w:rPr>
          <w:rFonts w:ascii="宋体" w:hAnsi="宋体" w:eastAsia="仿宋"/>
          <w:color w:val="auto"/>
          <w:sz w:val="24"/>
        </w:rPr>
        <w:t>人民法院起诉。</w:t>
      </w:r>
    </w:p>
    <w:p w14:paraId="185F244C">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16.2 在争议期间，除存在争议的部分外，本合同其它部分应继续履行。</w:t>
      </w:r>
    </w:p>
    <w:p w14:paraId="250DD4F5">
      <w:pPr>
        <w:pStyle w:val="4"/>
        <w:rPr>
          <w:rFonts w:eastAsia="仿宋"/>
          <w:color w:val="auto"/>
        </w:rPr>
      </w:pPr>
      <w:r>
        <w:rPr>
          <w:rFonts w:eastAsia="仿宋"/>
          <w:color w:val="auto"/>
        </w:rPr>
        <w:t>17. 适用法律</w:t>
      </w:r>
    </w:p>
    <w:p w14:paraId="20DDF3C9">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本合同应按照中华人民共和国的法律进行解释。</w:t>
      </w:r>
    </w:p>
    <w:p w14:paraId="525205CE">
      <w:pPr>
        <w:pStyle w:val="4"/>
        <w:rPr>
          <w:rFonts w:eastAsia="仿宋"/>
          <w:color w:val="auto"/>
        </w:rPr>
      </w:pPr>
      <w:r>
        <w:rPr>
          <w:rFonts w:eastAsia="仿宋"/>
          <w:color w:val="auto"/>
        </w:rPr>
        <w:t>18. 合同生效</w:t>
      </w:r>
    </w:p>
    <w:p w14:paraId="0651444D">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除法律另有规定外，甲方和乙方的法定代表人（单位负责人）或其委托代理人在合同协议书上签字并盖单位章后，合同生效。</w:t>
      </w:r>
    </w:p>
    <w:p w14:paraId="49F968D0">
      <w:pPr>
        <w:pStyle w:val="4"/>
        <w:rPr>
          <w:rFonts w:eastAsia="仿宋"/>
          <w:color w:val="auto"/>
        </w:rPr>
      </w:pPr>
      <w:r>
        <w:rPr>
          <w:rFonts w:eastAsia="仿宋"/>
          <w:color w:val="auto"/>
        </w:rPr>
        <w:t>19. 合同附件</w:t>
      </w:r>
    </w:p>
    <w:p w14:paraId="3F698131">
      <w:pPr>
        <w:widowControl/>
        <w:adjustRightInd w:val="0"/>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按合同协议书规定的合同组成部分作为合同附件。</w:t>
      </w:r>
    </w:p>
    <w:p w14:paraId="1EC69CF8">
      <w:pPr>
        <w:pStyle w:val="4"/>
        <w:rPr>
          <w:rFonts w:eastAsia="仿宋"/>
          <w:color w:val="auto"/>
        </w:rPr>
      </w:pPr>
      <w:r>
        <w:rPr>
          <w:rFonts w:eastAsia="仿宋"/>
          <w:color w:val="auto"/>
        </w:rPr>
        <w:t>20. 补充条款</w:t>
      </w:r>
    </w:p>
    <w:p w14:paraId="4D6D2611">
      <w:pPr>
        <w:widowControl/>
        <w:adjustRightInd w:val="0"/>
        <w:snapToGrid w:val="0"/>
        <w:spacing w:line="360" w:lineRule="auto"/>
        <w:ind w:firstLine="480" w:firstLineChars="200"/>
        <w:rPr>
          <w:rFonts w:ascii="宋体" w:eastAsia="仿宋"/>
          <w:color w:val="auto"/>
          <w:sz w:val="24"/>
          <w:u w:val="single"/>
        </w:rPr>
      </w:pPr>
      <w:r>
        <w:rPr>
          <w:rFonts w:hint="eastAsia" w:ascii="宋体" w:eastAsia="仿宋"/>
          <w:color w:val="auto"/>
          <w:sz w:val="24"/>
          <w:u w:val="single"/>
        </w:rPr>
        <w:t xml:space="preserve">未经甲方事先书面许可，乙方不得以履行本政府采购合同为由，以广告或其他形式宣称其是政府采购指定供应商或其服务是政府采购指定服务。                                                                       </w:t>
      </w:r>
    </w:p>
    <w:p w14:paraId="70A571CB">
      <w:pPr>
        <w:pStyle w:val="4"/>
        <w:rPr>
          <w:rFonts w:eastAsia="仿宋"/>
          <w:color w:val="auto"/>
        </w:rPr>
      </w:pPr>
      <w:r>
        <w:rPr>
          <w:rFonts w:eastAsia="仿宋"/>
          <w:color w:val="auto"/>
        </w:rPr>
        <w:t>21. 其他</w:t>
      </w:r>
    </w:p>
    <w:p w14:paraId="58C4311C">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本合同一式</w:t>
      </w:r>
      <w:r>
        <w:rPr>
          <w:rFonts w:hint="eastAsia" w:ascii="宋体" w:hAnsi="宋体" w:eastAsia="仿宋"/>
          <w:color w:val="auto"/>
          <w:sz w:val="24"/>
          <w:u w:val="single"/>
        </w:rPr>
        <w:t>肆</w:t>
      </w:r>
      <w:r>
        <w:rPr>
          <w:rFonts w:hint="eastAsia" w:ascii="宋体" w:hAnsi="宋体" w:eastAsia="仿宋"/>
          <w:color w:val="auto"/>
          <w:sz w:val="24"/>
        </w:rPr>
        <w:t>份，甲、乙双方各执</w:t>
      </w:r>
      <w:r>
        <w:rPr>
          <w:rFonts w:hint="eastAsia" w:ascii="宋体" w:hAnsi="宋体" w:eastAsia="仿宋"/>
          <w:color w:val="auto"/>
          <w:sz w:val="24"/>
          <w:u w:val="single"/>
        </w:rPr>
        <w:t>贰</w:t>
      </w:r>
      <w:r>
        <w:rPr>
          <w:rFonts w:hint="eastAsia" w:ascii="宋体" w:hAnsi="宋体" w:eastAsia="仿宋"/>
          <w:color w:val="auto"/>
          <w:sz w:val="24"/>
        </w:rPr>
        <w:t>份，合同盖章后生效。</w:t>
      </w:r>
    </w:p>
    <w:p w14:paraId="2D3B146B">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甲   方：                        乙   方：</w:t>
      </w:r>
    </w:p>
    <w:p w14:paraId="28E4EA05">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名称：（盖章）                    名称：（盖章）</w:t>
      </w:r>
    </w:p>
    <w:p w14:paraId="03D1A0B8">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地址：                           地址：</w:t>
      </w:r>
    </w:p>
    <w:p w14:paraId="70FE49A3">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法定代表人（签字）：              法定代表人（签字）：</w:t>
      </w:r>
    </w:p>
    <w:p w14:paraId="4D8057EF">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授权代表（签字）：                授权代表（签字）：</w:t>
      </w:r>
    </w:p>
    <w:p w14:paraId="525BA09E">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开户银行：                       开户银行：</w:t>
      </w:r>
    </w:p>
    <w:p w14:paraId="17A61577">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银行帐号：                       银行帐号：</w:t>
      </w:r>
    </w:p>
    <w:p w14:paraId="4918F599">
      <w:pPr>
        <w:snapToGrid w:val="0"/>
        <w:spacing w:line="360" w:lineRule="auto"/>
        <w:ind w:firstLine="480" w:firstLineChars="200"/>
        <w:rPr>
          <w:rFonts w:hint="eastAsia" w:ascii="宋体" w:hAnsi="宋体" w:eastAsia="仿宋"/>
          <w:color w:val="auto"/>
          <w:sz w:val="24"/>
        </w:rPr>
      </w:pPr>
      <w:r>
        <w:rPr>
          <w:rFonts w:hint="eastAsia" w:ascii="宋体" w:hAnsi="宋体" w:eastAsia="仿宋"/>
          <w:color w:val="auto"/>
          <w:sz w:val="24"/>
        </w:rPr>
        <w:t>时间：         年     月     日</w:t>
      </w:r>
    </w:p>
    <w:p w14:paraId="3FC693D6">
      <w:pPr>
        <w:snapToGrid w:val="0"/>
        <w:spacing w:line="360" w:lineRule="auto"/>
        <w:ind w:firstLine="480" w:firstLineChars="200"/>
        <w:rPr>
          <w:rFonts w:hint="eastAsia" w:ascii="仿宋" w:hAnsi="仿宋" w:eastAsia="仿宋" w:cs="仿宋"/>
          <w:color w:val="auto"/>
          <w:sz w:val="24"/>
          <w:lang w:val="zh-CN"/>
        </w:rPr>
      </w:pPr>
    </w:p>
    <w:p w14:paraId="6B573042">
      <w:pPr>
        <w:pStyle w:val="2"/>
        <w:keepNext w:val="0"/>
        <w:widowControl/>
        <w:spacing w:before="0" w:after="0" w:line="240" w:lineRule="auto"/>
        <w:jc w:val="center"/>
        <w:rPr>
          <w:rFonts w:hint="eastAsia" w:ascii="楷体_GB2312" w:hAnsi="楷体_GB2312" w:eastAsia="仿宋" w:cs="楷体_GB2312"/>
          <w:color w:val="auto"/>
        </w:rPr>
      </w:pPr>
      <w:r>
        <w:rPr>
          <w:rFonts w:hAnsi="宋体" w:cs="宋体"/>
          <w:color w:val="auto"/>
          <w:sz w:val="32"/>
          <w:szCs w:val="32"/>
          <w:lang w:bidi="ar"/>
        </w:rPr>
        <w:br w:type="page"/>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Start w:id="560" w:name="_Toc21613"/>
      <w:bookmarkStart w:id="561" w:name="_Toc445554784"/>
      <w:bookmarkStart w:id="562" w:name="_Toc466024585"/>
      <w:r>
        <w:rPr>
          <w:rFonts w:hint="eastAsia" w:ascii="楷体_GB2312" w:hAnsi="楷体_GB2312" w:eastAsia="仿宋" w:cs="仿宋"/>
          <w:color w:val="auto"/>
        </w:rPr>
        <w:t>第六章</w:t>
      </w:r>
      <w:r>
        <w:rPr>
          <w:rFonts w:hint="eastAsia" w:ascii="楷体_GB2312" w:hAnsi="楷体_GB2312" w:eastAsia="仿宋" w:cs="楷体_GB2312"/>
          <w:color w:val="auto"/>
        </w:rPr>
        <w:t xml:space="preserve">  </w:t>
      </w:r>
      <w:r>
        <w:rPr>
          <w:rFonts w:hint="eastAsia" w:ascii="楷体_GB2312" w:hAnsi="楷体_GB2312" w:eastAsia="仿宋" w:cs="仿宋"/>
          <w:color w:val="auto"/>
        </w:rPr>
        <w:t>响应文件格式</w:t>
      </w:r>
      <w:bookmarkEnd w:id="560"/>
      <w:bookmarkEnd w:id="561"/>
      <w:bookmarkEnd w:id="562"/>
    </w:p>
    <w:p w14:paraId="0AE34665">
      <w:pPr>
        <w:rPr>
          <w:rFonts w:hint="eastAsia" w:ascii="楷体_GB2312" w:hAnsi="楷体_GB2312" w:eastAsia="仿宋" w:cs="楷体_GB2312"/>
          <w:b/>
          <w:bCs/>
          <w:color w:val="auto"/>
        </w:rPr>
      </w:pPr>
    </w:p>
    <w:p w14:paraId="4C105241">
      <w:pPr>
        <w:widowControl/>
        <w:adjustRightInd w:val="0"/>
        <w:snapToGrid w:val="0"/>
        <w:spacing w:before="62" w:beforeLines="20" w:after="62" w:afterLines="20" w:line="540" w:lineRule="exact"/>
        <w:rPr>
          <w:rFonts w:eastAsia="仿宋"/>
          <w:color w:val="auto"/>
          <w:sz w:val="36"/>
        </w:rPr>
      </w:pPr>
    </w:p>
    <w:p w14:paraId="29305EFB">
      <w:pPr>
        <w:widowControl/>
        <w:adjustRightInd w:val="0"/>
        <w:snapToGrid w:val="0"/>
        <w:spacing w:before="62" w:beforeLines="20" w:after="62" w:afterLines="20" w:line="540" w:lineRule="exact"/>
        <w:rPr>
          <w:rFonts w:eastAsia="仿宋"/>
          <w:color w:val="auto"/>
          <w:sz w:val="36"/>
        </w:rPr>
      </w:pPr>
    </w:p>
    <w:p w14:paraId="3FB89515">
      <w:pPr>
        <w:widowControl/>
        <w:adjustRightInd w:val="0"/>
        <w:snapToGrid w:val="0"/>
        <w:spacing w:line="360" w:lineRule="auto"/>
        <w:ind w:firstLine="480" w:firstLineChars="200"/>
        <w:rPr>
          <w:rFonts w:hint="eastAsia" w:ascii="楷体_GB2312" w:hAnsi="楷体_GB2312" w:eastAsia="仿宋" w:cs="楷体_GB2312"/>
          <w:color w:val="auto"/>
          <w:szCs w:val="21"/>
        </w:rPr>
      </w:pPr>
      <w:r>
        <w:rPr>
          <w:rFonts w:hint="eastAsia" w:ascii="Cambria" w:eastAsia="仿宋" w:cs="仿宋"/>
          <w:color w:val="auto"/>
          <w:sz w:val="24"/>
          <w:lang w:bidi="ar"/>
        </w:rPr>
        <w:t>注：</w:t>
      </w:r>
      <w:r>
        <w:rPr>
          <w:rFonts w:ascii="Cambria" w:eastAsia="仿宋" w:cs="Cambria"/>
          <w:color w:val="auto"/>
          <w:sz w:val="24"/>
          <w:lang w:bidi="ar"/>
        </w:rPr>
        <w:t>1.</w:t>
      </w:r>
      <w:r>
        <w:rPr>
          <w:rFonts w:hint="eastAsia" w:ascii="Cambria" w:eastAsia="仿宋" w:cs="仿宋"/>
          <w:color w:val="auto"/>
          <w:sz w:val="24"/>
          <w:lang w:bidi="ar"/>
        </w:rPr>
        <w:t>供应商应按给定格式编制响应文件，相关格式可以扩展。竞争性磋商与评审办法、竞争性磋商文件澄清修改等竞争性磋商文件要求提供相关材料的，此处未给出格式、章节的，请供应商自定格式，编制在响应文件内。</w:t>
      </w:r>
      <w:r>
        <w:rPr>
          <w:rFonts w:hint="eastAsia" w:ascii="楷体_GB2312" w:hAnsi="楷体_GB2312" w:eastAsia="仿宋"/>
          <w:color w:val="auto"/>
          <w:szCs w:val="21"/>
          <w:lang w:bidi="ar"/>
        </w:rPr>
        <w:br w:type="page"/>
      </w:r>
    </w:p>
    <w:p w14:paraId="273C0E90">
      <w:pPr>
        <w:widowControl/>
        <w:spacing w:line="560" w:lineRule="exact"/>
        <w:ind w:firstLine="420" w:firstLineChars="200"/>
        <w:jc w:val="center"/>
        <w:rPr>
          <w:rFonts w:hint="eastAsia" w:ascii="楷体_GB2312" w:hAnsi="楷体_GB2312" w:eastAsia="仿宋" w:cs="楷体_GB2312"/>
          <w:color w:val="auto"/>
          <w:szCs w:val="21"/>
        </w:rPr>
      </w:pPr>
    </w:p>
    <w:p w14:paraId="46076C2D">
      <w:pPr>
        <w:widowControl/>
        <w:spacing w:line="560" w:lineRule="exact"/>
        <w:ind w:firstLine="420" w:firstLineChars="200"/>
        <w:jc w:val="center"/>
        <w:rPr>
          <w:rFonts w:hint="eastAsia" w:ascii="楷体_GB2312" w:hAnsi="楷体_GB2312" w:eastAsia="仿宋" w:cs="楷体_GB2312"/>
          <w:color w:val="auto"/>
          <w:szCs w:val="21"/>
        </w:rPr>
      </w:pPr>
    </w:p>
    <w:p w14:paraId="25CDC73A">
      <w:pPr>
        <w:widowControl/>
        <w:spacing w:line="560" w:lineRule="exact"/>
        <w:ind w:firstLine="420" w:firstLineChars="200"/>
        <w:jc w:val="center"/>
        <w:rPr>
          <w:rFonts w:hint="eastAsia" w:ascii="楷体_GB2312" w:hAnsi="楷体_GB2312" w:eastAsia="仿宋" w:cs="楷体_GB2312"/>
          <w:color w:val="auto"/>
          <w:szCs w:val="21"/>
        </w:rPr>
      </w:pPr>
    </w:p>
    <w:p w14:paraId="6260BD7B">
      <w:pPr>
        <w:widowControl/>
        <w:spacing w:line="560" w:lineRule="exact"/>
        <w:ind w:firstLine="420" w:firstLineChars="200"/>
        <w:jc w:val="center"/>
        <w:rPr>
          <w:rFonts w:hint="eastAsia" w:ascii="楷体_GB2312" w:hAnsi="楷体_GB2312" w:eastAsia="仿宋" w:cs="楷体_GB2312"/>
          <w:color w:val="auto"/>
          <w:szCs w:val="21"/>
        </w:rPr>
      </w:pPr>
    </w:p>
    <w:p w14:paraId="3452077A">
      <w:pPr>
        <w:widowControl/>
        <w:spacing w:line="560" w:lineRule="exact"/>
        <w:ind w:firstLine="880" w:firstLineChars="200"/>
        <w:jc w:val="center"/>
        <w:rPr>
          <w:rFonts w:hint="eastAsia" w:ascii="仿宋" w:hAnsi="仿宋" w:eastAsia="仿宋" w:cs="仿宋"/>
          <w:color w:val="auto"/>
          <w:sz w:val="44"/>
          <w:szCs w:val="44"/>
        </w:rPr>
      </w:pPr>
      <w:r>
        <w:rPr>
          <w:rFonts w:hint="eastAsia" w:ascii="仿宋" w:hAnsi="仿宋" w:eastAsia="仿宋" w:cs="仿宋"/>
          <w:color w:val="auto"/>
          <w:sz w:val="44"/>
          <w:szCs w:val="44"/>
          <w:u w:val="single"/>
          <w:lang w:bidi="ar"/>
        </w:rPr>
        <w:t xml:space="preserve">             </w:t>
      </w:r>
      <w:r>
        <w:rPr>
          <w:rFonts w:hint="eastAsia" w:ascii="仿宋" w:hAnsi="仿宋" w:eastAsia="仿宋" w:cs="仿宋"/>
          <w:color w:val="auto"/>
          <w:sz w:val="44"/>
          <w:szCs w:val="44"/>
          <w:lang w:bidi="ar"/>
        </w:rPr>
        <w:t>（项目名称）</w:t>
      </w:r>
    </w:p>
    <w:p w14:paraId="49F5AD75">
      <w:pPr>
        <w:widowControl/>
        <w:spacing w:line="560" w:lineRule="exact"/>
        <w:ind w:firstLine="400" w:firstLineChars="200"/>
        <w:jc w:val="center"/>
        <w:rPr>
          <w:rFonts w:hint="eastAsia" w:ascii="仿宋" w:hAnsi="仿宋" w:eastAsia="仿宋" w:cs="仿宋"/>
          <w:color w:val="auto"/>
          <w:sz w:val="20"/>
          <w:szCs w:val="20"/>
        </w:rPr>
      </w:pPr>
    </w:p>
    <w:p w14:paraId="710C4F0C">
      <w:pPr>
        <w:widowControl/>
        <w:spacing w:line="560" w:lineRule="exact"/>
        <w:ind w:firstLine="400" w:firstLineChars="200"/>
        <w:jc w:val="center"/>
        <w:rPr>
          <w:rFonts w:hint="eastAsia" w:ascii="仿宋" w:hAnsi="仿宋" w:eastAsia="仿宋" w:cs="仿宋"/>
          <w:color w:val="auto"/>
          <w:sz w:val="20"/>
          <w:szCs w:val="20"/>
        </w:rPr>
      </w:pPr>
    </w:p>
    <w:p w14:paraId="00416EA2">
      <w:pPr>
        <w:widowControl/>
        <w:snapToGrid w:val="0"/>
        <w:jc w:val="center"/>
        <w:rPr>
          <w:rFonts w:hint="eastAsia" w:ascii="仿宋" w:hAnsi="仿宋" w:eastAsia="仿宋" w:cs="仿宋"/>
          <w:color w:val="auto"/>
          <w:sz w:val="72"/>
          <w:szCs w:val="72"/>
        </w:rPr>
      </w:pPr>
      <w:r>
        <w:rPr>
          <w:rFonts w:hint="eastAsia" w:ascii="仿宋" w:hAnsi="仿宋" w:eastAsia="仿宋" w:cs="仿宋"/>
          <w:color w:val="auto"/>
          <w:sz w:val="72"/>
          <w:szCs w:val="72"/>
          <w:lang w:bidi="ar"/>
        </w:rPr>
        <w:t>响  应  文  件</w:t>
      </w:r>
    </w:p>
    <w:p w14:paraId="693DE649">
      <w:pPr>
        <w:widowControl/>
        <w:spacing w:line="560" w:lineRule="exact"/>
        <w:ind w:firstLine="560" w:firstLineChars="200"/>
        <w:rPr>
          <w:rFonts w:hint="eastAsia" w:ascii="仿宋" w:hAnsi="仿宋" w:eastAsia="仿宋" w:cs="仿宋"/>
          <w:color w:val="auto"/>
          <w:sz w:val="28"/>
          <w:szCs w:val="28"/>
        </w:rPr>
      </w:pPr>
    </w:p>
    <w:p w14:paraId="06B86986">
      <w:pPr>
        <w:widowControl/>
        <w:spacing w:line="560" w:lineRule="exact"/>
        <w:ind w:firstLine="560" w:firstLineChars="200"/>
        <w:rPr>
          <w:rFonts w:hint="eastAsia" w:ascii="仿宋" w:hAnsi="仿宋" w:eastAsia="仿宋" w:cs="仿宋"/>
          <w:color w:val="auto"/>
          <w:sz w:val="28"/>
          <w:szCs w:val="28"/>
        </w:rPr>
      </w:pPr>
    </w:p>
    <w:p w14:paraId="6BB4E3DD">
      <w:pPr>
        <w:widowControl/>
        <w:spacing w:line="560" w:lineRule="exact"/>
        <w:ind w:firstLine="560" w:firstLineChars="200"/>
        <w:rPr>
          <w:rFonts w:hint="eastAsia" w:ascii="仿宋" w:hAnsi="仿宋" w:eastAsia="仿宋" w:cs="仿宋"/>
          <w:color w:val="auto"/>
          <w:sz w:val="28"/>
          <w:szCs w:val="28"/>
        </w:rPr>
      </w:pPr>
    </w:p>
    <w:p w14:paraId="1596793E">
      <w:pPr>
        <w:widowControl/>
        <w:spacing w:line="560" w:lineRule="exact"/>
        <w:ind w:firstLine="560" w:firstLineChars="200"/>
        <w:rPr>
          <w:rFonts w:hint="eastAsia" w:ascii="仿宋" w:hAnsi="仿宋" w:eastAsia="仿宋" w:cs="仿宋"/>
          <w:color w:val="auto"/>
          <w:sz w:val="28"/>
          <w:szCs w:val="28"/>
        </w:rPr>
      </w:pPr>
    </w:p>
    <w:p w14:paraId="48B5FEFD">
      <w:pPr>
        <w:widowControl/>
        <w:spacing w:line="560" w:lineRule="exact"/>
        <w:ind w:firstLine="560" w:firstLineChars="200"/>
        <w:rPr>
          <w:rFonts w:hint="eastAsia" w:ascii="仿宋" w:hAnsi="仿宋" w:eastAsia="仿宋" w:cs="仿宋"/>
          <w:color w:val="auto"/>
          <w:sz w:val="28"/>
          <w:szCs w:val="28"/>
        </w:rPr>
      </w:pPr>
    </w:p>
    <w:p w14:paraId="090403FC">
      <w:pPr>
        <w:widowControl/>
        <w:spacing w:line="560" w:lineRule="exact"/>
        <w:ind w:firstLine="560" w:firstLineChars="200"/>
        <w:rPr>
          <w:rFonts w:hint="eastAsia" w:ascii="仿宋" w:hAnsi="仿宋" w:eastAsia="仿宋" w:cs="仿宋"/>
          <w:color w:val="auto"/>
          <w:sz w:val="28"/>
          <w:szCs w:val="28"/>
        </w:rPr>
      </w:pPr>
    </w:p>
    <w:p w14:paraId="7A198660">
      <w:pPr>
        <w:widowControl/>
        <w:spacing w:line="560" w:lineRule="exact"/>
        <w:ind w:firstLine="560" w:firstLineChars="200"/>
        <w:rPr>
          <w:rFonts w:hint="eastAsia" w:ascii="仿宋" w:hAnsi="仿宋" w:eastAsia="仿宋" w:cs="仿宋"/>
          <w:color w:val="auto"/>
          <w:sz w:val="28"/>
          <w:szCs w:val="28"/>
        </w:rPr>
      </w:pPr>
    </w:p>
    <w:p w14:paraId="40451B0B">
      <w:pPr>
        <w:widowControl/>
        <w:spacing w:line="560" w:lineRule="exact"/>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lang w:bidi="ar"/>
        </w:rPr>
        <w:t>供应商名称：</w:t>
      </w:r>
      <w:r>
        <w:rPr>
          <w:rFonts w:hint="eastAsia" w:ascii="仿宋" w:hAnsi="仿宋" w:eastAsia="仿宋" w:cs="仿宋"/>
          <w:color w:val="auto"/>
          <w:sz w:val="28"/>
          <w:szCs w:val="28"/>
          <w:u w:val="single"/>
          <w:lang w:bidi="ar"/>
        </w:rPr>
        <w:t xml:space="preserve">                                  </w:t>
      </w:r>
      <w:r>
        <w:rPr>
          <w:rFonts w:hint="eastAsia" w:ascii="仿宋" w:hAnsi="仿宋" w:eastAsia="仿宋" w:cs="仿宋"/>
          <w:color w:val="auto"/>
          <w:sz w:val="28"/>
          <w:szCs w:val="28"/>
          <w:lang w:bidi="ar"/>
        </w:rPr>
        <w:t xml:space="preserve"> </w:t>
      </w:r>
    </w:p>
    <w:p w14:paraId="362B4CBD">
      <w:pPr>
        <w:widowControl/>
        <w:spacing w:line="560" w:lineRule="exact"/>
        <w:ind w:firstLine="560" w:firstLineChars="200"/>
        <w:rPr>
          <w:rFonts w:hint="eastAsia" w:ascii="仿宋" w:hAnsi="仿宋" w:eastAsia="仿宋" w:cs="仿宋"/>
          <w:color w:val="auto"/>
          <w:sz w:val="28"/>
          <w:szCs w:val="28"/>
        </w:rPr>
      </w:pPr>
    </w:p>
    <w:p w14:paraId="362BBD09">
      <w:pPr>
        <w:widowControl/>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bidi="ar"/>
        </w:rPr>
        <w:t>法定代表人（单位负责人）或其委托代理人：</w:t>
      </w:r>
      <w:r>
        <w:rPr>
          <w:rFonts w:hint="eastAsia" w:ascii="仿宋" w:hAnsi="仿宋" w:eastAsia="仿宋" w:cs="仿宋"/>
          <w:color w:val="auto"/>
          <w:sz w:val="28"/>
          <w:szCs w:val="28"/>
          <w:u w:val="single"/>
          <w:lang w:bidi="ar"/>
        </w:rPr>
        <w:t xml:space="preserve">                    </w:t>
      </w:r>
      <w:r>
        <w:rPr>
          <w:rFonts w:hint="eastAsia" w:ascii="仿宋" w:hAnsi="仿宋" w:eastAsia="仿宋" w:cs="仿宋"/>
          <w:color w:val="auto"/>
          <w:sz w:val="28"/>
          <w:szCs w:val="28"/>
          <w:lang w:bidi="ar"/>
        </w:rPr>
        <w:t xml:space="preserve"> </w:t>
      </w:r>
    </w:p>
    <w:p w14:paraId="46FFDBF5">
      <w:pPr>
        <w:widowControl/>
        <w:spacing w:line="560" w:lineRule="exact"/>
        <w:ind w:firstLine="2800" w:firstLineChars="1000"/>
        <w:rPr>
          <w:rFonts w:hint="eastAsia" w:ascii="仿宋" w:hAnsi="仿宋" w:eastAsia="仿宋" w:cs="仿宋"/>
          <w:color w:val="auto"/>
        </w:rPr>
      </w:pPr>
      <w:r>
        <w:rPr>
          <w:rFonts w:hint="eastAsia" w:ascii="仿宋" w:hAnsi="仿宋" w:eastAsia="仿宋" w:cs="仿宋"/>
          <w:color w:val="auto"/>
          <w:sz w:val="28"/>
          <w:szCs w:val="28"/>
          <w:u w:val="single"/>
          <w:lang w:bidi="ar"/>
        </w:rPr>
        <w:t xml:space="preserve">        </w:t>
      </w:r>
      <w:r>
        <w:rPr>
          <w:rFonts w:hint="eastAsia" w:ascii="仿宋" w:hAnsi="仿宋" w:eastAsia="仿宋" w:cs="仿宋"/>
          <w:color w:val="auto"/>
          <w:sz w:val="28"/>
          <w:szCs w:val="28"/>
          <w:lang w:bidi="ar"/>
        </w:rPr>
        <w:t>年</w:t>
      </w:r>
      <w:r>
        <w:rPr>
          <w:rFonts w:hint="eastAsia" w:ascii="仿宋" w:hAnsi="仿宋" w:eastAsia="仿宋" w:cs="仿宋"/>
          <w:color w:val="auto"/>
          <w:sz w:val="28"/>
          <w:szCs w:val="28"/>
          <w:u w:val="single"/>
          <w:lang w:bidi="ar"/>
        </w:rPr>
        <w:t xml:space="preserve">        </w:t>
      </w:r>
      <w:r>
        <w:rPr>
          <w:rFonts w:hint="eastAsia" w:ascii="仿宋" w:hAnsi="仿宋" w:eastAsia="仿宋" w:cs="仿宋"/>
          <w:color w:val="auto"/>
          <w:sz w:val="28"/>
          <w:szCs w:val="28"/>
          <w:lang w:bidi="ar"/>
        </w:rPr>
        <w:t>月</w:t>
      </w:r>
      <w:r>
        <w:rPr>
          <w:rFonts w:hint="eastAsia" w:ascii="仿宋" w:hAnsi="仿宋" w:eastAsia="仿宋" w:cs="仿宋"/>
          <w:color w:val="auto"/>
          <w:sz w:val="28"/>
          <w:szCs w:val="28"/>
          <w:u w:val="single"/>
          <w:lang w:bidi="ar"/>
        </w:rPr>
        <w:t xml:space="preserve">        </w:t>
      </w:r>
      <w:r>
        <w:rPr>
          <w:rFonts w:hint="eastAsia" w:ascii="仿宋" w:hAnsi="仿宋" w:eastAsia="仿宋" w:cs="仿宋"/>
          <w:color w:val="auto"/>
          <w:sz w:val="28"/>
          <w:szCs w:val="28"/>
          <w:lang w:bidi="ar"/>
        </w:rPr>
        <w:t>日</w:t>
      </w:r>
    </w:p>
    <w:p w14:paraId="60A6301A">
      <w:pPr>
        <w:widowControl/>
        <w:jc w:val="center"/>
        <w:rPr>
          <w:rFonts w:hint="eastAsia" w:ascii="仿宋" w:hAnsi="仿宋" w:eastAsia="仿宋" w:cs="仿宋"/>
          <w:b/>
          <w:bCs/>
          <w:color w:val="auto"/>
          <w:sz w:val="44"/>
          <w:szCs w:val="44"/>
        </w:rPr>
      </w:pPr>
    </w:p>
    <w:p w14:paraId="62903713">
      <w:pPr>
        <w:widowControl/>
        <w:spacing w:line="200" w:lineRule="atLeast"/>
        <w:rPr>
          <w:rFonts w:hint="eastAsia" w:ascii="仿宋" w:hAnsi="仿宋" w:eastAsia="仿宋" w:cs="仿宋"/>
          <w:color w:val="auto"/>
          <w:kern w:val="0"/>
          <w:sz w:val="18"/>
          <w:szCs w:val="18"/>
        </w:rPr>
      </w:pPr>
      <w:r>
        <w:rPr>
          <w:rFonts w:hint="eastAsia" w:ascii="仿宋" w:hAnsi="仿宋" w:eastAsia="仿宋" w:cs="仿宋"/>
          <w:color w:val="auto"/>
          <w:kern w:val="0"/>
          <w:sz w:val="20"/>
          <w:szCs w:val="20"/>
          <w:lang w:bidi="ar"/>
        </w:rPr>
        <w:t xml:space="preserve"> </w:t>
      </w:r>
      <w:r>
        <w:rPr>
          <w:rFonts w:hint="eastAsia" w:ascii="仿宋" w:hAnsi="仿宋" w:eastAsia="仿宋" w:cs="仿宋"/>
          <w:color w:val="auto"/>
          <w:kern w:val="0"/>
          <w:sz w:val="18"/>
          <w:szCs w:val="18"/>
          <w:lang w:bidi="ar"/>
        </w:rPr>
        <w:t xml:space="preserve"> </w:t>
      </w:r>
    </w:p>
    <w:p w14:paraId="519DC7BE">
      <w:pPr>
        <w:rPr>
          <w:rFonts w:hint="eastAsia" w:ascii="仿宋" w:hAnsi="仿宋" w:eastAsia="仿宋" w:cs="仿宋"/>
          <w:color w:val="auto"/>
          <w:lang w:bidi="ar"/>
        </w:rPr>
        <w:sectPr>
          <w:footerReference r:id="rId4" w:type="default"/>
          <w:footnotePr>
            <w:numFmt w:val="decimalEnclosedCircleChinese"/>
            <w:numRestart w:val="eachPage"/>
          </w:footnotePr>
          <w:type w:val="continuous"/>
          <w:pgSz w:w="11906" w:h="16838"/>
          <w:pgMar w:top="1135" w:right="1135" w:bottom="1135" w:left="1135" w:header="851" w:footer="851" w:gutter="0"/>
          <w:cols w:space="720" w:num="1"/>
          <w:docGrid w:type="lines" w:linePitch="312" w:charSpace="0"/>
        </w:sectPr>
      </w:pPr>
    </w:p>
    <w:p w14:paraId="2D0496D2">
      <w:pPr>
        <w:widowControl/>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lang w:bidi="ar"/>
        </w:rPr>
        <w:t>目  录</w:t>
      </w:r>
    </w:p>
    <w:p w14:paraId="241AC51E">
      <w:pPr>
        <w:widowControl/>
        <w:jc w:val="center"/>
        <w:rPr>
          <w:rFonts w:hint="eastAsia" w:ascii="仿宋" w:hAnsi="仿宋" w:eastAsia="仿宋" w:cs="仿宋"/>
          <w:b/>
          <w:bCs/>
          <w:color w:val="auto"/>
          <w:sz w:val="44"/>
          <w:szCs w:val="44"/>
        </w:rPr>
      </w:pPr>
    </w:p>
    <w:p w14:paraId="3208C6AC">
      <w:pPr>
        <w:widowControl/>
        <w:adjustRightInd w:val="0"/>
        <w:snapToGrid w:val="0"/>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bidi="ar"/>
        </w:rPr>
        <w:t>（格式自拟）</w:t>
      </w:r>
    </w:p>
    <w:p w14:paraId="15BA85DC">
      <w:pPr>
        <w:widowControl/>
        <w:adjustRightInd w:val="0"/>
        <w:snapToGrid w:val="0"/>
        <w:spacing w:line="360" w:lineRule="auto"/>
        <w:rPr>
          <w:rFonts w:hint="eastAsia" w:ascii="仿宋" w:hAnsi="仿宋" w:eastAsia="仿宋" w:cs="仿宋"/>
          <w:color w:val="auto"/>
          <w:sz w:val="28"/>
          <w:szCs w:val="28"/>
        </w:rPr>
      </w:pPr>
    </w:p>
    <w:p w14:paraId="2FAE0670">
      <w:pPr>
        <w:rPr>
          <w:rFonts w:hint="eastAsia" w:ascii="仿宋" w:hAnsi="仿宋" w:eastAsia="仿宋" w:cs="仿宋"/>
          <w:b/>
          <w:bCs/>
          <w:color w:val="auto"/>
          <w:sz w:val="44"/>
          <w:szCs w:val="44"/>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4239D566">
      <w:pPr>
        <w:pStyle w:val="3"/>
        <w:keepNext w:val="0"/>
        <w:widowControl/>
        <w:spacing w:before="120" w:after="120" w:line="240" w:lineRule="auto"/>
        <w:jc w:val="center"/>
        <w:rPr>
          <w:rFonts w:ascii="仿宋" w:hAnsi="仿宋" w:eastAsia="仿宋" w:cs="仿宋"/>
          <w:bCs w:val="0"/>
          <w:color w:val="auto"/>
          <w:sz w:val="24"/>
          <w:szCs w:val="24"/>
        </w:rPr>
      </w:pPr>
      <w:bookmarkStart w:id="563" w:name="_Toc466024594"/>
      <w:bookmarkStart w:id="564" w:name="_Toc445554791"/>
      <w:bookmarkStart w:id="565" w:name="_Toc445554789"/>
      <w:bookmarkStart w:id="566" w:name="_Toc466024592"/>
      <w:r>
        <w:rPr>
          <w:rStyle w:val="19"/>
          <w:rFonts w:ascii="仿宋" w:hAnsi="仿宋" w:eastAsia="仿宋" w:cs="仿宋"/>
          <w:b/>
          <w:bCs w:val="0"/>
          <w:color w:val="auto"/>
          <w:sz w:val="24"/>
          <w:szCs w:val="24"/>
        </w:rPr>
        <w:t>一、响应函</w:t>
      </w:r>
      <w:bookmarkEnd w:id="563"/>
      <w:bookmarkEnd w:id="564"/>
    </w:p>
    <w:p w14:paraId="3FBC744F">
      <w:pPr>
        <w:widowControl/>
        <w:tabs>
          <w:tab w:val="left" w:leader="underscore" w:pos="2880"/>
        </w:tabs>
        <w:spacing w:line="400" w:lineRule="exact"/>
        <w:rPr>
          <w:rFonts w:hint="eastAsia" w:ascii="仿宋" w:hAnsi="仿宋" w:eastAsia="仿宋" w:cs="仿宋"/>
          <w:b/>
          <w:color w:val="auto"/>
          <w:sz w:val="24"/>
        </w:rPr>
      </w:pPr>
      <w:r>
        <w:rPr>
          <w:rFonts w:hint="eastAsia" w:ascii="仿宋" w:hAnsi="仿宋" w:eastAsia="仿宋" w:cs="仿宋"/>
          <w:color w:val="auto"/>
          <w:sz w:val="24"/>
          <w:lang w:bidi="ar"/>
        </w:rPr>
        <w:t>致：</w:t>
      </w:r>
      <w:r>
        <w:rPr>
          <w:rFonts w:hint="eastAsia" w:ascii="仿宋" w:hAnsi="仿宋" w:eastAsia="仿宋" w:cs="仿宋"/>
          <w:color w:val="auto"/>
          <w:sz w:val="24"/>
          <w:u w:val="single"/>
          <w:lang w:bidi="ar"/>
        </w:rPr>
        <w:t xml:space="preserve">  合肥综合性科学中心环境研究院  </w:t>
      </w:r>
      <w:r>
        <w:rPr>
          <w:rFonts w:hint="eastAsia" w:ascii="仿宋" w:hAnsi="仿宋" w:eastAsia="仿宋" w:cs="仿宋"/>
          <w:color w:val="auto"/>
          <w:sz w:val="24"/>
          <w:lang w:bidi="ar"/>
        </w:rPr>
        <w:t>（采购人名称)</w:t>
      </w:r>
    </w:p>
    <w:p w14:paraId="3BC6D4C3">
      <w:pPr>
        <w:widowControl/>
        <w:spacing w:line="400" w:lineRule="exact"/>
        <w:ind w:firstLine="480" w:firstLineChars="200"/>
        <w:rPr>
          <w:rFonts w:hint="eastAsia" w:ascii="仿宋" w:hAnsi="仿宋" w:eastAsia="仿宋" w:cs="仿宋"/>
          <w:color w:val="auto"/>
          <w:sz w:val="24"/>
        </w:rPr>
      </w:pPr>
    </w:p>
    <w:p w14:paraId="55DD236A">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1. 我方已仔细研究了</w:t>
      </w:r>
      <w:r>
        <w:rPr>
          <w:rFonts w:hint="eastAsia" w:ascii="仿宋" w:hAnsi="仿宋" w:eastAsia="仿宋" w:cs="仿宋"/>
          <w:color w:val="auto"/>
          <w:sz w:val="24"/>
          <w:u w:val="single"/>
          <w:lang w:bidi="ar"/>
        </w:rPr>
        <w:t xml:space="preserve">       </w:t>
      </w:r>
      <w:r>
        <w:rPr>
          <w:rFonts w:hint="eastAsia" w:ascii="仿宋" w:hAnsi="仿宋" w:eastAsia="仿宋" w:cs="仿宋"/>
          <w:color w:val="auto"/>
          <w:sz w:val="24"/>
          <w:lang w:bidi="ar"/>
        </w:rPr>
        <w:t>（项目名称）竞争性磋商文件的全部内容，接受你方在竞争性磋商文件中对供应商的约束条件。我方愿意以我方提交的响应报价，按照合同的约定履行合同义务。</w:t>
      </w:r>
    </w:p>
    <w:p w14:paraId="1FA48CE6">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 我方承诺在竞争性磋商文件规定的响应文件有效期内不修改、撤销响应文件，且随时准备接受你方发出的成交通知书。</w:t>
      </w:r>
    </w:p>
    <w:p w14:paraId="06BE22E8">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3. 我方已详细审查全部竞争性磋商文件，包括全部澄清、修改、答疑和补充文件。我们完全理解并同意放弃对这方面有不明及误解的权力。</w:t>
      </w:r>
    </w:p>
    <w:p w14:paraId="474DDF78">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4. 我方在此声明，所提交的响应文件及有关资料内容完整、真实和准确，且不存在竞争性磋商文件第二章“供应商须知”第1.3.3项规定的任何一种情形。</w:t>
      </w:r>
    </w:p>
    <w:p w14:paraId="1182D97C">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5. 如我方被确定为成交供应商：</w:t>
      </w:r>
    </w:p>
    <w:p w14:paraId="63DE2A2F">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（1）我方承诺在收到成交通知后，在规定的期限内与你方签订合同；</w:t>
      </w:r>
    </w:p>
    <w:p w14:paraId="5D05397E">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（2）在签订合同时不向你方提出附加条件；</w:t>
      </w:r>
    </w:p>
    <w:p w14:paraId="2C7B909C">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（3）我方承诺在合同约定的期限内提供服务，履行合同规定的各项义务。</w:t>
      </w:r>
    </w:p>
    <w:p w14:paraId="1B67717D">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6. 我方同意按照你方要求提供与我方参与竞争性磋商有关的一切数据或资料。</w:t>
      </w:r>
    </w:p>
    <w:p w14:paraId="6A798074">
      <w:pPr>
        <w:widowControl/>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7. 我方对响应文件中所提供资料. 文件. 证书及证件的真实性. 合法性和有效性负责。</w:t>
      </w:r>
    </w:p>
    <w:p w14:paraId="5241DD3F">
      <w:pPr>
        <w:widowControl/>
        <w:tabs>
          <w:tab w:val="left" w:leader="underscore" w:pos="3600"/>
          <w:tab w:val="left" w:leader="underscore" w:pos="5400"/>
        </w:tabs>
        <w:spacing w:line="400" w:lineRule="exact"/>
        <w:ind w:firstLine="482" w:firstLineChars="200"/>
        <w:rPr>
          <w:rFonts w:hint="eastAsia" w:ascii="仿宋" w:hAnsi="仿宋" w:eastAsia="仿宋" w:cs="仿宋"/>
          <w:b/>
          <w:color w:val="auto"/>
          <w:sz w:val="24"/>
          <w:u w:val="single"/>
        </w:rPr>
      </w:pPr>
      <w:r>
        <w:rPr>
          <w:rFonts w:hint="eastAsia" w:ascii="仿宋" w:hAnsi="仿宋" w:eastAsia="仿宋" w:cs="仿宋"/>
          <w:b/>
          <w:color w:val="auto"/>
          <w:sz w:val="24"/>
          <w:lang w:bidi="ar"/>
        </w:rPr>
        <w:t>9. 其他补充说明：</w:t>
      </w:r>
      <w:r>
        <w:rPr>
          <w:rFonts w:hint="eastAsia" w:ascii="仿宋" w:hAnsi="仿宋" w:eastAsia="仿宋" w:cs="仿宋"/>
          <w:b/>
          <w:color w:val="auto"/>
          <w:sz w:val="24"/>
          <w:u w:val="single"/>
          <w:lang w:bidi="ar"/>
        </w:rPr>
        <w:t xml:space="preserve">                                               </w:t>
      </w:r>
    </w:p>
    <w:p w14:paraId="43D1A46F">
      <w:pPr>
        <w:widowControl/>
        <w:tabs>
          <w:tab w:val="left" w:leader="underscore" w:pos="3600"/>
          <w:tab w:val="left" w:leader="underscore" w:pos="5400"/>
        </w:tabs>
        <w:spacing w:line="400" w:lineRule="exact"/>
        <w:ind w:firstLine="482" w:firstLineChars="200"/>
        <w:rPr>
          <w:rFonts w:hint="eastAsia" w:ascii="仿宋" w:hAnsi="仿宋" w:eastAsia="仿宋" w:cs="仿宋"/>
          <w:b/>
          <w:color w:val="auto"/>
          <w:sz w:val="24"/>
        </w:rPr>
      </w:pPr>
    </w:p>
    <w:p w14:paraId="5C9E1B67">
      <w:pPr>
        <w:pStyle w:val="21"/>
        <w:spacing w:line="390" w:lineRule="atLeast"/>
        <w:rPr>
          <w:rFonts w:hint="eastAsia" w:ascii="仿宋" w:hAnsi="仿宋" w:eastAsia="仿宋" w:cs="仿宋"/>
          <w:color w:val="auto"/>
          <w:sz w:val="24"/>
          <w:szCs w:val="24"/>
        </w:rPr>
      </w:pPr>
      <w:r>
        <w:rPr>
          <w:rFonts w:hint="eastAsia" w:ascii="仿宋" w:hAnsi="仿宋" w:eastAsia="仿宋" w:cs="仿宋"/>
          <w:color w:val="auto"/>
          <w:sz w:val="24"/>
          <w:szCs w:val="24"/>
        </w:rPr>
        <w:t>供应商：</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（盖</w:t>
      </w:r>
      <w:r>
        <w:rPr>
          <w:rFonts w:hint="eastAsia" w:ascii="仿宋" w:hAnsi="仿宋" w:eastAsia="仿宋" w:cs="仿宋"/>
          <w:color w:val="auto"/>
          <w:spacing w:val="-1"/>
          <w:sz w:val="24"/>
          <w:szCs w:val="24"/>
        </w:rPr>
        <w:t>单</w:t>
      </w:r>
      <w:r>
        <w:rPr>
          <w:rFonts w:hint="eastAsia" w:ascii="仿宋" w:hAnsi="仿宋" w:eastAsia="仿宋" w:cs="仿宋"/>
          <w:color w:val="auto"/>
          <w:sz w:val="24"/>
          <w:szCs w:val="24"/>
        </w:rPr>
        <w:t>位章）</w:t>
      </w:r>
    </w:p>
    <w:p w14:paraId="388E1988">
      <w:pPr>
        <w:pStyle w:val="21"/>
        <w:spacing w:line="390" w:lineRule="atLeast"/>
        <w:rPr>
          <w:rFonts w:hint="eastAsia" w:ascii="仿宋" w:hAnsi="仿宋" w:eastAsia="仿宋" w:cs="仿宋"/>
          <w:color w:val="auto"/>
          <w:sz w:val="24"/>
          <w:szCs w:val="24"/>
        </w:rPr>
      </w:pPr>
      <w:r>
        <w:rPr>
          <w:rFonts w:hint="eastAsia" w:ascii="仿宋" w:hAnsi="仿宋" w:eastAsia="仿宋" w:cs="仿宋"/>
          <w:color w:val="auto"/>
          <w:sz w:val="24"/>
          <w:szCs w:val="24"/>
        </w:rPr>
        <w:t>法定代表人（单位负责人）或其委托代理人</w:t>
      </w:r>
      <w:r>
        <w:rPr>
          <w:rFonts w:hint="eastAsia" w:ascii="仿宋" w:hAnsi="仿宋" w:eastAsia="仿宋" w:cs="仿宋"/>
          <w:color w:val="auto"/>
          <w:spacing w:val="1"/>
          <w:sz w:val="24"/>
          <w:szCs w:val="24"/>
        </w:rPr>
        <w:t>：</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rPr>
        <w:t xml:space="preserve">（签字或盖章） </w:t>
      </w:r>
    </w:p>
    <w:p w14:paraId="3E764B73">
      <w:pPr>
        <w:pStyle w:val="21"/>
        <w:spacing w:line="390" w:lineRule="atLeast"/>
        <w:rPr>
          <w:rFonts w:hint="eastAsia" w:ascii="仿宋" w:hAnsi="仿宋" w:eastAsia="仿宋" w:cs="仿宋"/>
          <w:color w:val="auto"/>
          <w:sz w:val="24"/>
          <w:szCs w:val="24"/>
        </w:rPr>
      </w:pPr>
      <w:r>
        <w:rPr>
          <w:rFonts w:hint="eastAsia" w:ascii="仿宋" w:hAnsi="仿宋" w:eastAsia="仿宋" w:cs="仿宋"/>
          <w:color w:val="auto"/>
          <w:spacing w:val="-1"/>
          <w:sz w:val="24"/>
          <w:szCs w:val="24"/>
        </w:rPr>
        <w:t>地</w:t>
      </w:r>
      <w:r>
        <w:rPr>
          <w:rFonts w:hint="eastAsia" w:ascii="仿宋" w:hAnsi="仿宋" w:eastAsia="仿宋" w:cs="仿宋"/>
          <w:color w:val="auto"/>
          <w:spacing w:val="1"/>
          <w:sz w:val="24"/>
          <w:szCs w:val="24"/>
        </w:rPr>
        <w:t>址</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pacing w:val="-1"/>
          <w:sz w:val="24"/>
          <w:szCs w:val="24"/>
        </w:rPr>
        <w:t>邮</w:t>
      </w:r>
      <w:r>
        <w:rPr>
          <w:rFonts w:hint="eastAsia" w:ascii="仿宋" w:hAnsi="仿宋" w:eastAsia="仿宋" w:cs="仿宋"/>
          <w:color w:val="auto"/>
          <w:sz w:val="24"/>
          <w:szCs w:val="24"/>
        </w:rPr>
        <w:t>编</w:t>
      </w:r>
      <w:r>
        <w:rPr>
          <w:rFonts w:hint="eastAsia" w:ascii="仿宋" w:hAnsi="仿宋" w:eastAsia="仿宋" w:cs="仿宋"/>
          <w:color w:val="auto"/>
          <w:sz w:val="24"/>
          <w:szCs w:val="24"/>
          <w:u w:val="single"/>
        </w:rPr>
        <w:t xml:space="preserve">                            </w:t>
      </w:r>
    </w:p>
    <w:p w14:paraId="5B395AD6">
      <w:pPr>
        <w:pStyle w:val="21"/>
        <w:spacing w:line="390" w:lineRule="atLeast"/>
        <w:rPr>
          <w:rFonts w:hint="eastAsia" w:ascii="仿宋" w:hAnsi="仿宋" w:eastAsia="仿宋" w:cs="仿宋"/>
          <w:color w:val="auto"/>
          <w:sz w:val="24"/>
          <w:szCs w:val="24"/>
        </w:rPr>
      </w:pPr>
      <w:r>
        <w:rPr>
          <w:rFonts w:hint="eastAsia" w:ascii="仿宋" w:hAnsi="仿宋" w:eastAsia="仿宋" w:cs="仿宋"/>
          <w:color w:val="auto"/>
          <w:spacing w:val="-1"/>
          <w:sz w:val="24"/>
          <w:szCs w:val="24"/>
        </w:rPr>
        <w:t>电</w:t>
      </w:r>
      <w:r>
        <w:rPr>
          <w:rFonts w:hint="eastAsia" w:ascii="仿宋" w:hAnsi="仿宋" w:eastAsia="仿宋" w:cs="仿宋"/>
          <w:color w:val="auto"/>
          <w:spacing w:val="1"/>
          <w:sz w:val="24"/>
          <w:szCs w:val="24"/>
        </w:rPr>
        <w:t>话</w:t>
      </w:r>
      <w:r>
        <w:rPr>
          <w:rFonts w:hint="eastAsia" w:ascii="仿宋" w:hAnsi="仿宋" w:eastAsia="仿宋" w:cs="仿宋"/>
          <w:color w:val="auto"/>
          <w:sz w:val="24"/>
          <w:szCs w:val="24"/>
          <w:u w:val="single"/>
        </w:rPr>
        <w:t xml:space="preserve">                        </w:t>
      </w:r>
      <w:r>
        <w:rPr>
          <w:rFonts w:hint="eastAsia" w:ascii="仿宋" w:hAnsi="仿宋" w:eastAsia="仿宋" w:cs="仿宋"/>
          <w:color w:val="auto"/>
          <w:spacing w:val="-1"/>
          <w:sz w:val="24"/>
          <w:szCs w:val="24"/>
        </w:rPr>
        <w:t>传</w:t>
      </w:r>
      <w:r>
        <w:rPr>
          <w:rFonts w:hint="eastAsia" w:ascii="仿宋" w:hAnsi="仿宋" w:eastAsia="仿宋" w:cs="仿宋"/>
          <w:color w:val="auto"/>
          <w:sz w:val="24"/>
          <w:szCs w:val="24"/>
        </w:rPr>
        <w:t>真</w:t>
      </w:r>
      <w:r>
        <w:rPr>
          <w:rFonts w:hint="eastAsia" w:ascii="仿宋" w:hAnsi="仿宋" w:eastAsia="仿宋" w:cs="仿宋"/>
          <w:color w:val="auto"/>
          <w:sz w:val="24"/>
          <w:szCs w:val="24"/>
          <w:u w:val="single"/>
        </w:rPr>
        <w:t xml:space="preserve">                       </w:t>
      </w:r>
    </w:p>
    <w:p w14:paraId="425E9856">
      <w:pPr>
        <w:pStyle w:val="21"/>
        <w:spacing w:line="390" w:lineRule="atLeast"/>
        <w:rPr>
          <w:rFonts w:hint="eastAsia" w:ascii="仿宋" w:hAnsi="仿宋" w:eastAsia="仿宋" w:cs="仿宋"/>
          <w:color w:val="auto"/>
          <w:sz w:val="24"/>
          <w:szCs w:val="24"/>
        </w:rPr>
      </w:pPr>
      <w:r>
        <w:rPr>
          <w:rFonts w:hint="eastAsia" w:ascii="仿宋" w:hAnsi="仿宋" w:eastAsia="仿宋" w:cs="仿宋"/>
          <w:color w:val="auto"/>
          <w:sz w:val="24"/>
          <w:szCs w:val="24"/>
        </w:rPr>
        <w:t>电子邮箱</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网址：</w:t>
      </w:r>
      <w:r>
        <w:rPr>
          <w:rFonts w:hint="eastAsia" w:ascii="仿宋" w:hAnsi="仿宋" w:eastAsia="仿宋" w:cs="仿宋"/>
          <w:color w:val="auto"/>
          <w:sz w:val="24"/>
          <w:szCs w:val="24"/>
          <w:u w:val="single"/>
        </w:rPr>
        <w:t xml:space="preserve">                       </w:t>
      </w:r>
    </w:p>
    <w:p w14:paraId="4206F7DB">
      <w:pPr>
        <w:pStyle w:val="21"/>
        <w:spacing w:line="200" w:lineRule="atLeast"/>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205F5385">
      <w:pPr>
        <w:pStyle w:val="21"/>
        <w:spacing w:line="200" w:lineRule="atLeast"/>
        <w:rPr>
          <w:rFonts w:hint="eastAsia" w:ascii="宋体" w:hAnsi="宋体" w:cs="宋体"/>
          <w:color w:val="auto"/>
          <w:sz w:val="20"/>
          <w:szCs w:val="20"/>
        </w:rPr>
      </w:pPr>
    </w:p>
    <w:p w14:paraId="0413C952">
      <w:pPr>
        <w:pStyle w:val="21"/>
        <w:spacing w:before="6" w:line="220" w:lineRule="atLeast"/>
        <w:rPr>
          <w:rFonts w:hint="eastAsia" w:ascii="宋体" w:hAnsi="宋体" w:cs="宋体"/>
          <w:color w:val="auto"/>
          <w:sz w:val="22"/>
          <w:szCs w:val="22"/>
        </w:rPr>
      </w:pPr>
    </w:p>
    <w:p w14:paraId="061F0484">
      <w:pPr>
        <w:rPr>
          <w:rFonts w:hint="eastAsia" w:ascii="宋体" w:hAnsi="宋体" w:cs="宋体"/>
          <w:color w:val="auto"/>
          <w:szCs w:val="21"/>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6EFCF87E">
      <w:pPr>
        <w:pStyle w:val="3"/>
        <w:keepNext w:val="0"/>
        <w:widowControl/>
        <w:spacing w:before="120" w:after="120" w:line="240" w:lineRule="auto"/>
        <w:jc w:val="center"/>
        <w:rPr>
          <w:rFonts w:ascii="仿宋" w:hAnsi="仿宋" w:eastAsia="仿宋" w:cs="仿宋"/>
          <w:color w:val="auto"/>
          <w:kern w:val="0"/>
          <w:sz w:val="24"/>
          <w:szCs w:val="24"/>
        </w:rPr>
      </w:pPr>
      <w:r>
        <w:rPr>
          <w:rFonts w:ascii="仿宋" w:hAnsi="仿宋" w:eastAsia="仿宋" w:cs="仿宋"/>
          <w:bCs w:val="0"/>
          <w:color w:val="auto"/>
          <w:kern w:val="0"/>
          <w:sz w:val="24"/>
          <w:szCs w:val="24"/>
        </w:rPr>
        <w:t>二、</w:t>
      </w:r>
      <w:bookmarkEnd w:id="565"/>
      <w:bookmarkEnd w:id="566"/>
      <w:r>
        <w:rPr>
          <w:rFonts w:ascii="仿宋" w:hAnsi="仿宋" w:eastAsia="仿宋" w:cs="仿宋"/>
          <w:color w:val="auto"/>
          <w:kern w:val="0"/>
          <w:sz w:val="24"/>
          <w:szCs w:val="24"/>
        </w:rPr>
        <w:t>法定代表人（单位负责人）身份证明或授权委托书</w:t>
      </w:r>
    </w:p>
    <w:p w14:paraId="79D5F0FB">
      <w:pPr>
        <w:jc w:val="center"/>
        <w:rPr>
          <w:rFonts w:hint="eastAsia" w:ascii="仿宋" w:hAnsi="仿宋" w:eastAsia="仿宋" w:cs="仿宋"/>
          <w:b/>
          <w:color w:val="auto"/>
          <w:sz w:val="24"/>
        </w:rPr>
      </w:pPr>
      <w:r>
        <w:rPr>
          <w:rFonts w:hint="eastAsia" w:ascii="仿宋" w:hAnsi="仿宋" w:eastAsia="仿宋" w:cs="仿宋"/>
          <w:b/>
          <w:color w:val="auto"/>
          <w:kern w:val="0"/>
          <w:sz w:val="24"/>
          <w:lang w:bidi="ar"/>
        </w:rPr>
        <w:t>法定代表人（单位负责人）身份证明</w:t>
      </w:r>
    </w:p>
    <w:p w14:paraId="1F8ACD17">
      <w:pPr>
        <w:widowControl/>
        <w:spacing w:line="360" w:lineRule="auto"/>
        <w:rPr>
          <w:rFonts w:hint="eastAsia" w:ascii="仿宋" w:hAnsi="仿宋" w:eastAsia="仿宋" w:cs="仿宋"/>
          <w:color w:val="auto"/>
          <w:spacing w:val="3"/>
          <w:kern w:val="0"/>
          <w:sz w:val="24"/>
        </w:rPr>
      </w:pPr>
      <w:r>
        <w:rPr>
          <w:rFonts w:hint="eastAsia" w:ascii="仿宋" w:hAnsi="仿宋" w:eastAsia="仿宋" w:cs="仿宋"/>
          <w:color w:val="auto"/>
          <w:kern w:val="0"/>
          <w:sz w:val="24"/>
          <w:lang w:bidi="ar"/>
        </w:rPr>
        <w:t>供应商名称：</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3"/>
          <w:kern w:val="0"/>
          <w:sz w:val="24"/>
          <w:u w:val="single"/>
          <w:lang w:bidi="ar"/>
        </w:rPr>
        <w:t xml:space="preserve"> </w:t>
      </w:r>
      <w:r>
        <w:rPr>
          <w:rFonts w:hint="eastAsia" w:ascii="仿宋" w:hAnsi="仿宋" w:eastAsia="仿宋" w:cs="仿宋"/>
          <w:color w:val="auto"/>
          <w:spacing w:val="3"/>
          <w:kern w:val="0"/>
          <w:sz w:val="24"/>
          <w:lang w:bidi="ar"/>
        </w:rPr>
        <w:t xml:space="preserve"> </w:t>
      </w:r>
    </w:p>
    <w:p w14:paraId="2AEAA13B">
      <w:pPr>
        <w:widowControl/>
        <w:spacing w:line="360" w:lineRule="auto"/>
        <w:rPr>
          <w:rFonts w:hint="eastAsia" w:ascii="仿宋" w:hAnsi="仿宋" w:eastAsia="仿宋" w:cs="仿宋"/>
          <w:color w:val="auto"/>
          <w:spacing w:val="26"/>
          <w:kern w:val="0"/>
          <w:sz w:val="24"/>
        </w:rPr>
      </w:pPr>
      <w:r>
        <w:rPr>
          <w:rFonts w:hint="eastAsia" w:ascii="仿宋" w:hAnsi="仿宋" w:eastAsia="仿宋" w:cs="仿宋"/>
          <w:color w:val="auto"/>
          <w:kern w:val="0"/>
          <w:sz w:val="24"/>
          <w:lang w:bidi="ar"/>
        </w:rPr>
        <w:t>单位</w:t>
      </w:r>
      <w:r>
        <w:rPr>
          <w:rFonts w:hint="eastAsia" w:ascii="仿宋" w:hAnsi="仿宋" w:eastAsia="仿宋" w:cs="仿宋"/>
          <w:color w:val="auto"/>
          <w:spacing w:val="-1"/>
          <w:kern w:val="0"/>
          <w:sz w:val="24"/>
          <w:lang w:bidi="ar"/>
        </w:rPr>
        <w:t>性</w:t>
      </w:r>
      <w:r>
        <w:rPr>
          <w:rFonts w:hint="eastAsia" w:ascii="仿宋" w:hAnsi="仿宋" w:eastAsia="仿宋" w:cs="仿宋"/>
          <w:color w:val="auto"/>
          <w:kern w:val="0"/>
          <w:sz w:val="24"/>
          <w:lang w:bidi="ar"/>
        </w:rPr>
        <w:t>质：</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26"/>
          <w:kern w:val="0"/>
          <w:sz w:val="24"/>
          <w:u w:val="single"/>
          <w:lang w:bidi="ar"/>
        </w:rPr>
        <w:t xml:space="preserve"> </w:t>
      </w:r>
      <w:r>
        <w:rPr>
          <w:rFonts w:hint="eastAsia" w:ascii="仿宋" w:hAnsi="仿宋" w:eastAsia="仿宋" w:cs="仿宋"/>
          <w:color w:val="auto"/>
          <w:spacing w:val="26"/>
          <w:kern w:val="0"/>
          <w:sz w:val="24"/>
          <w:lang w:bidi="ar"/>
        </w:rPr>
        <w:t xml:space="preserve"> </w:t>
      </w:r>
    </w:p>
    <w:p w14:paraId="06381EEB">
      <w:pPr>
        <w:widowControl/>
        <w:spacing w:line="360" w:lineRule="auto"/>
        <w:rPr>
          <w:rFonts w:hint="eastAsia" w:ascii="仿宋" w:hAnsi="仿宋" w:eastAsia="仿宋" w:cs="仿宋"/>
          <w:color w:val="auto"/>
          <w:spacing w:val="10"/>
          <w:kern w:val="0"/>
          <w:sz w:val="24"/>
        </w:rPr>
      </w:pPr>
      <w:r>
        <w:rPr>
          <w:rFonts w:hint="eastAsia" w:ascii="仿宋" w:hAnsi="仿宋" w:eastAsia="仿宋" w:cs="仿宋"/>
          <w:color w:val="auto"/>
          <w:kern w:val="0"/>
          <w:sz w:val="24"/>
          <w:lang w:bidi="ar"/>
        </w:rPr>
        <w:t>地    址</w:t>
      </w:r>
      <w:r>
        <w:rPr>
          <w:rFonts w:hint="eastAsia" w:ascii="仿宋" w:hAnsi="仿宋" w:eastAsia="仿宋" w:cs="仿宋"/>
          <w:color w:val="auto"/>
          <w:spacing w:val="-1"/>
          <w:kern w:val="0"/>
          <w:sz w:val="24"/>
          <w:lang w:bidi="ar"/>
        </w:rPr>
        <w:t>：</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10"/>
          <w:kern w:val="0"/>
          <w:sz w:val="24"/>
          <w:u w:val="single"/>
          <w:lang w:bidi="ar"/>
        </w:rPr>
        <w:t xml:space="preserve"> </w:t>
      </w:r>
      <w:r>
        <w:rPr>
          <w:rFonts w:hint="eastAsia" w:ascii="仿宋" w:hAnsi="仿宋" w:eastAsia="仿宋" w:cs="仿宋"/>
          <w:color w:val="auto"/>
          <w:spacing w:val="10"/>
          <w:kern w:val="0"/>
          <w:sz w:val="24"/>
          <w:lang w:bidi="ar"/>
        </w:rPr>
        <w:t xml:space="preserve"> </w:t>
      </w:r>
    </w:p>
    <w:p w14:paraId="3206BF9D">
      <w:pPr>
        <w:widowControl/>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成立</w:t>
      </w:r>
      <w:r>
        <w:rPr>
          <w:rFonts w:hint="eastAsia" w:ascii="仿宋" w:hAnsi="仿宋" w:eastAsia="仿宋" w:cs="仿宋"/>
          <w:color w:val="auto"/>
          <w:spacing w:val="-1"/>
          <w:kern w:val="0"/>
          <w:sz w:val="24"/>
          <w:lang w:bidi="ar"/>
        </w:rPr>
        <w:t>时</w:t>
      </w:r>
      <w:r>
        <w:rPr>
          <w:rFonts w:hint="eastAsia" w:ascii="仿宋" w:hAnsi="仿宋" w:eastAsia="仿宋" w:cs="仿宋"/>
          <w:color w:val="auto"/>
          <w:kern w:val="0"/>
          <w:sz w:val="24"/>
          <w:lang w:bidi="ar"/>
        </w:rPr>
        <w:t>间：</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6"/>
          <w:kern w:val="0"/>
          <w:sz w:val="24"/>
          <w:u w:val="single"/>
          <w:lang w:bidi="ar"/>
        </w:rPr>
        <w:t xml:space="preserve"> </w:t>
      </w:r>
      <w:r>
        <w:rPr>
          <w:rFonts w:hint="eastAsia" w:ascii="仿宋" w:hAnsi="仿宋" w:eastAsia="仿宋" w:cs="仿宋"/>
          <w:color w:val="auto"/>
          <w:spacing w:val="-1"/>
          <w:kern w:val="0"/>
          <w:sz w:val="24"/>
          <w:lang w:bidi="ar"/>
        </w:rPr>
        <w:t>年</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lang w:bidi="ar"/>
        </w:rPr>
        <w:t>月</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49"/>
          <w:kern w:val="0"/>
          <w:sz w:val="24"/>
          <w:lang w:bidi="ar"/>
        </w:rPr>
        <w:t xml:space="preserve"> </w:t>
      </w:r>
      <w:r>
        <w:rPr>
          <w:rFonts w:hint="eastAsia" w:ascii="仿宋" w:hAnsi="仿宋" w:eastAsia="仿宋" w:cs="仿宋"/>
          <w:color w:val="auto"/>
          <w:kern w:val="0"/>
          <w:sz w:val="24"/>
          <w:lang w:bidi="ar"/>
        </w:rPr>
        <w:t xml:space="preserve">日 </w:t>
      </w:r>
    </w:p>
    <w:p w14:paraId="47F1C440">
      <w:pPr>
        <w:widowControl/>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经营</w:t>
      </w:r>
      <w:r>
        <w:rPr>
          <w:rFonts w:hint="eastAsia" w:ascii="仿宋" w:hAnsi="仿宋" w:eastAsia="仿宋" w:cs="仿宋"/>
          <w:color w:val="auto"/>
          <w:spacing w:val="-1"/>
          <w:kern w:val="0"/>
          <w:sz w:val="24"/>
          <w:lang w:bidi="ar"/>
        </w:rPr>
        <w:t>期</w:t>
      </w:r>
      <w:r>
        <w:rPr>
          <w:rFonts w:hint="eastAsia" w:ascii="仿宋" w:hAnsi="仿宋" w:eastAsia="仿宋" w:cs="仿宋"/>
          <w:color w:val="auto"/>
          <w:kern w:val="0"/>
          <w:sz w:val="24"/>
          <w:lang w:bidi="ar"/>
        </w:rPr>
        <w:t>限：</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26"/>
          <w:kern w:val="0"/>
          <w:sz w:val="24"/>
          <w:u w:val="single"/>
          <w:lang w:bidi="ar"/>
        </w:rPr>
        <w:t xml:space="preserve"> </w:t>
      </w:r>
    </w:p>
    <w:p w14:paraId="21029967">
      <w:pPr>
        <w:widowControl/>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姓名：</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kern w:val="0"/>
          <w:sz w:val="24"/>
          <w:lang w:bidi="ar"/>
        </w:rPr>
        <w:t>性别：</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lang w:bidi="ar"/>
        </w:rPr>
        <w:t>年</w:t>
      </w:r>
      <w:r>
        <w:rPr>
          <w:rFonts w:hint="eastAsia" w:ascii="仿宋" w:hAnsi="仿宋" w:eastAsia="仿宋" w:cs="仿宋"/>
          <w:color w:val="auto"/>
          <w:spacing w:val="-1"/>
          <w:kern w:val="0"/>
          <w:sz w:val="24"/>
          <w:lang w:bidi="ar"/>
        </w:rPr>
        <w:t>龄</w:t>
      </w:r>
      <w:r>
        <w:rPr>
          <w:rFonts w:hint="eastAsia" w:ascii="仿宋" w:hAnsi="仿宋" w:eastAsia="仿宋" w:cs="仿宋"/>
          <w:color w:val="auto"/>
          <w:kern w:val="0"/>
          <w:sz w:val="24"/>
          <w:lang w:bidi="ar"/>
        </w:rPr>
        <w:t>：</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lang w:bidi="ar"/>
        </w:rPr>
        <w:t>职务</w:t>
      </w:r>
      <w:r>
        <w:rPr>
          <w:rFonts w:hint="eastAsia" w:ascii="仿宋" w:hAnsi="仿宋" w:eastAsia="仿宋" w:cs="仿宋"/>
          <w:color w:val="auto"/>
          <w:spacing w:val="-1"/>
          <w:kern w:val="0"/>
          <w:sz w:val="24"/>
          <w:lang w:bidi="ar"/>
        </w:rPr>
        <w:t>：</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kern w:val="0"/>
          <w:sz w:val="24"/>
          <w:lang w:bidi="ar"/>
        </w:rPr>
        <w:t xml:space="preserve"> </w:t>
      </w:r>
    </w:p>
    <w:p w14:paraId="7BC3C933">
      <w:pPr>
        <w:widowControl/>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系</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spacing w:val="-1"/>
          <w:kern w:val="0"/>
          <w:sz w:val="24"/>
          <w:lang w:bidi="ar"/>
        </w:rPr>
        <w:t>（</w:t>
      </w:r>
      <w:r>
        <w:rPr>
          <w:rFonts w:hint="eastAsia" w:ascii="仿宋" w:hAnsi="仿宋" w:eastAsia="仿宋" w:cs="仿宋"/>
          <w:color w:val="auto"/>
          <w:kern w:val="0"/>
          <w:sz w:val="24"/>
          <w:lang w:bidi="ar"/>
        </w:rPr>
        <w:t>供应商名称）的法定代表人（单位负责人）。</w:t>
      </w:r>
    </w:p>
    <w:p w14:paraId="210A9FFE">
      <w:pPr>
        <w:widowControl/>
        <w:spacing w:line="360" w:lineRule="auto"/>
        <w:ind w:right="6463"/>
        <w:rPr>
          <w:rFonts w:hint="eastAsia" w:ascii="仿宋" w:hAnsi="仿宋" w:eastAsia="仿宋" w:cs="仿宋"/>
          <w:color w:val="auto"/>
          <w:kern w:val="0"/>
          <w:sz w:val="24"/>
        </w:rPr>
      </w:pPr>
      <w:r>
        <w:rPr>
          <w:rFonts w:hint="eastAsia" w:ascii="仿宋" w:hAnsi="仿宋" w:eastAsia="仿宋" w:cs="仿宋"/>
          <w:color w:val="auto"/>
          <w:kern w:val="0"/>
          <w:sz w:val="24"/>
          <w:lang w:bidi="ar"/>
        </w:rPr>
        <w:t>特此证明。</w:t>
      </w:r>
    </w:p>
    <w:p w14:paraId="2FA88D7E">
      <w:pPr>
        <w:widowControl/>
        <w:spacing w:before="12"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附：法定代表人（单位负责人）身份证复印件。</w:t>
      </w:r>
    </w:p>
    <w:p w14:paraId="7048F9C8">
      <w:pPr>
        <w:widowControl/>
        <w:spacing w:line="360" w:lineRule="auto"/>
        <w:ind w:left="5068" w:right="-20"/>
        <w:rPr>
          <w:rFonts w:hint="eastAsia" w:ascii="仿宋" w:hAnsi="仿宋" w:eastAsia="仿宋" w:cs="仿宋"/>
          <w:color w:val="auto"/>
          <w:kern w:val="0"/>
          <w:sz w:val="24"/>
        </w:rPr>
      </w:pPr>
      <w:r>
        <w:rPr>
          <w:rFonts w:hint="eastAsia" w:ascii="仿宋" w:hAnsi="仿宋" w:eastAsia="仿宋" w:cs="仿宋"/>
          <w:color w:val="auto"/>
          <w:kern w:val="0"/>
          <w:position w:val="-4"/>
          <w:sz w:val="24"/>
          <w:lang w:bidi="ar"/>
        </w:rPr>
        <w:t>供应商：</w:t>
      </w:r>
      <w:r>
        <w:rPr>
          <w:rFonts w:hint="eastAsia" w:ascii="仿宋" w:hAnsi="仿宋" w:eastAsia="仿宋" w:cs="仿宋"/>
          <w:color w:val="auto"/>
          <w:spacing w:val="42"/>
          <w:kern w:val="0"/>
          <w:position w:val="-4"/>
          <w:sz w:val="24"/>
          <w:u w:val="single"/>
          <w:lang w:bidi="ar"/>
        </w:rPr>
        <w:t xml:space="preserve"> </w:t>
      </w:r>
      <w:r>
        <w:rPr>
          <w:rFonts w:hint="eastAsia" w:ascii="仿宋" w:hAnsi="仿宋" w:eastAsia="仿宋" w:cs="仿宋"/>
          <w:color w:val="auto"/>
          <w:kern w:val="0"/>
          <w:position w:val="-4"/>
          <w:sz w:val="24"/>
          <w:u w:val="single"/>
          <w:lang w:bidi="ar"/>
        </w:rPr>
        <w:t xml:space="preserve">          </w:t>
      </w:r>
      <w:r>
        <w:rPr>
          <w:rFonts w:hint="eastAsia" w:ascii="仿宋" w:hAnsi="仿宋" w:eastAsia="仿宋" w:cs="仿宋"/>
          <w:color w:val="auto"/>
          <w:spacing w:val="-1"/>
          <w:kern w:val="0"/>
          <w:position w:val="-4"/>
          <w:sz w:val="24"/>
          <w:lang w:bidi="ar"/>
        </w:rPr>
        <w:t>（</w:t>
      </w:r>
      <w:r>
        <w:rPr>
          <w:rFonts w:hint="eastAsia" w:ascii="仿宋" w:hAnsi="仿宋" w:eastAsia="仿宋" w:cs="仿宋"/>
          <w:color w:val="auto"/>
          <w:kern w:val="0"/>
          <w:position w:val="-4"/>
          <w:sz w:val="24"/>
          <w:lang w:bidi="ar"/>
        </w:rPr>
        <w:t>盖单位章）</w:t>
      </w:r>
    </w:p>
    <w:p w14:paraId="3AA353C9">
      <w:pPr>
        <w:widowControl/>
        <w:spacing w:line="360" w:lineRule="auto"/>
        <w:ind w:right="98"/>
        <w:jc w:val="right"/>
        <w:rPr>
          <w:rFonts w:hint="eastAsia" w:ascii="仿宋" w:hAnsi="仿宋" w:eastAsia="仿宋" w:cs="仿宋"/>
          <w:color w:val="auto"/>
          <w:kern w:val="0"/>
          <w:sz w:val="24"/>
        </w:rPr>
      </w:pPr>
      <w:r>
        <w:rPr>
          <w:rFonts w:hint="eastAsia" w:ascii="仿宋" w:hAnsi="仿宋" w:eastAsia="仿宋" w:cs="仿宋"/>
          <w:color w:val="auto"/>
          <w:kern w:val="0"/>
          <w:position w:val="-2"/>
          <w:sz w:val="24"/>
          <w:u w:val="single"/>
          <w:lang w:bidi="ar"/>
        </w:rPr>
        <w:t xml:space="preserve">       </w:t>
      </w:r>
      <w:r>
        <w:rPr>
          <w:rFonts w:hint="eastAsia" w:ascii="仿宋" w:hAnsi="仿宋" w:eastAsia="仿宋" w:cs="仿宋"/>
          <w:color w:val="auto"/>
          <w:spacing w:val="-1"/>
          <w:kern w:val="0"/>
          <w:position w:val="-2"/>
          <w:sz w:val="24"/>
          <w:lang w:bidi="ar"/>
        </w:rPr>
        <w:t>年</w:t>
      </w:r>
      <w:r>
        <w:rPr>
          <w:rFonts w:hint="eastAsia" w:ascii="仿宋" w:hAnsi="仿宋" w:eastAsia="仿宋" w:cs="仿宋"/>
          <w:color w:val="auto"/>
          <w:spacing w:val="42"/>
          <w:kern w:val="0"/>
          <w:position w:val="-2"/>
          <w:sz w:val="24"/>
          <w:u w:val="single"/>
          <w:lang w:bidi="ar"/>
        </w:rPr>
        <w:t xml:space="preserve"> </w:t>
      </w:r>
      <w:r>
        <w:rPr>
          <w:rFonts w:hint="eastAsia" w:ascii="仿宋" w:hAnsi="仿宋" w:eastAsia="仿宋" w:cs="仿宋"/>
          <w:color w:val="auto"/>
          <w:kern w:val="0"/>
          <w:position w:val="-2"/>
          <w:sz w:val="24"/>
          <w:u w:val="single"/>
          <w:lang w:bidi="ar"/>
        </w:rPr>
        <w:t xml:space="preserve">  </w:t>
      </w:r>
      <w:r>
        <w:rPr>
          <w:rFonts w:hint="eastAsia" w:ascii="仿宋" w:hAnsi="仿宋" w:eastAsia="仿宋" w:cs="仿宋"/>
          <w:color w:val="auto"/>
          <w:kern w:val="0"/>
          <w:position w:val="-2"/>
          <w:sz w:val="24"/>
          <w:lang w:bidi="ar"/>
        </w:rPr>
        <w:t>月</w:t>
      </w:r>
      <w:r>
        <w:rPr>
          <w:rFonts w:hint="eastAsia" w:ascii="仿宋" w:hAnsi="仿宋" w:eastAsia="仿宋" w:cs="仿宋"/>
          <w:color w:val="auto"/>
          <w:spacing w:val="42"/>
          <w:kern w:val="0"/>
          <w:position w:val="-2"/>
          <w:sz w:val="24"/>
          <w:u w:val="single"/>
          <w:lang w:bidi="ar"/>
        </w:rPr>
        <w:t xml:space="preserve"> </w:t>
      </w:r>
      <w:r>
        <w:rPr>
          <w:rFonts w:hint="eastAsia" w:ascii="仿宋" w:hAnsi="仿宋" w:eastAsia="仿宋" w:cs="仿宋"/>
          <w:color w:val="auto"/>
          <w:kern w:val="0"/>
          <w:position w:val="-2"/>
          <w:sz w:val="24"/>
          <w:u w:val="single"/>
          <w:lang w:bidi="ar"/>
        </w:rPr>
        <w:t xml:space="preserve">   </w:t>
      </w:r>
      <w:r>
        <w:rPr>
          <w:rFonts w:hint="eastAsia" w:ascii="仿宋" w:hAnsi="仿宋" w:eastAsia="仿宋" w:cs="仿宋"/>
          <w:color w:val="auto"/>
          <w:kern w:val="0"/>
          <w:position w:val="-2"/>
          <w:sz w:val="24"/>
          <w:lang w:bidi="ar"/>
        </w:rPr>
        <w:t>日</w:t>
      </w:r>
    </w:p>
    <w:p w14:paraId="26D20FAD">
      <w:pPr>
        <w:widowControl/>
        <w:ind w:left="2874" w:right="-20"/>
        <w:rPr>
          <w:rFonts w:hint="eastAsia" w:ascii="仿宋" w:hAnsi="仿宋" w:eastAsia="仿宋" w:cs="仿宋"/>
          <w:color w:val="auto"/>
          <w:kern w:val="0"/>
          <w:sz w:val="24"/>
        </w:rPr>
      </w:pPr>
    </w:p>
    <w:p w14:paraId="63B02887">
      <w:pPr>
        <w:widowControl/>
        <w:ind w:left="2874" w:right="-20"/>
        <w:rPr>
          <w:rFonts w:hint="eastAsia" w:ascii="仿宋" w:hAnsi="仿宋" w:eastAsia="仿宋" w:cs="仿宋"/>
          <w:b/>
          <w:color w:val="auto"/>
          <w:kern w:val="0"/>
          <w:sz w:val="24"/>
        </w:rPr>
      </w:pPr>
      <w:r>
        <w:rPr>
          <w:rFonts w:hint="eastAsia" w:ascii="仿宋" w:hAnsi="仿宋" w:eastAsia="仿宋" w:cs="仿宋"/>
          <w:b/>
          <w:color w:val="auto"/>
          <w:kern w:val="0"/>
          <w:sz w:val="24"/>
          <w:lang w:bidi="ar"/>
        </w:rPr>
        <w:t>法定代表人（单位负责人）授权委托书</w:t>
      </w:r>
    </w:p>
    <w:p w14:paraId="780FA439">
      <w:pPr>
        <w:widowControl/>
        <w:spacing w:before="3" w:line="260" w:lineRule="atLeast"/>
        <w:rPr>
          <w:rFonts w:hint="eastAsia" w:ascii="仿宋" w:hAnsi="仿宋" w:eastAsia="仿宋" w:cs="仿宋"/>
          <w:color w:val="auto"/>
          <w:kern w:val="0"/>
          <w:sz w:val="24"/>
        </w:rPr>
      </w:pPr>
    </w:p>
    <w:p w14:paraId="0B1C0F1A">
      <w:pPr>
        <w:widowControl/>
        <w:spacing w:line="360" w:lineRule="auto"/>
        <w:ind w:left="120" w:right="31" w:firstLine="421"/>
        <w:rPr>
          <w:rFonts w:hint="eastAsia" w:ascii="仿宋" w:hAnsi="仿宋" w:eastAsia="仿宋" w:cs="仿宋"/>
          <w:color w:val="auto"/>
          <w:kern w:val="0"/>
          <w:sz w:val="24"/>
        </w:rPr>
      </w:pPr>
      <w:r>
        <w:rPr>
          <w:rFonts w:hint="eastAsia" w:ascii="仿宋" w:hAnsi="仿宋" w:eastAsia="仿宋" w:cs="仿宋"/>
          <w:color w:val="auto"/>
          <w:kern w:val="0"/>
          <w:sz w:val="24"/>
          <w:lang w:bidi="ar"/>
        </w:rPr>
        <w:t>本人</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kern w:val="0"/>
          <w:sz w:val="24"/>
          <w:lang w:bidi="ar"/>
        </w:rPr>
        <w:t>（</w:t>
      </w:r>
      <w:r>
        <w:rPr>
          <w:rFonts w:hint="eastAsia" w:ascii="仿宋" w:hAnsi="仿宋" w:eastAsia="仿宋" w:cs="仿宋"/>
          <w:color w:val="auto"/>
          <w:spacing w:val="-1"/>
          <w:kern w:val="0"/>
          <w:sz w:val="24"/>
          <w:lang w:bidi="ar"/>
        </w:rPr>
        <w:t>姓</w:t>
      </w:r>
      <w:r>
        <w:rPr>
          <w:rFonts w:hint="eastAsia" w:ascii="仿宋" w:hAnsi="仿宋" w:eastAsia="仿宋" w:cs="仿宋"/>
          <w:color w:val="auto"/>
          <w:kern w:val="0"/>
          <w:sz w:val="24"/>
          <w:lang w:bidi="ar"/>
        </w:rPr>
        <w:t>名）系</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lang w:bidi="ar"/>
        </w:rPr>
        <w:t>（供应商名称）</w:t>
      </w:r>
      <w:r>
        <w:rPr>
          <w:rFonts w:hint="eastAsia" w:ascii="仿宋" w:hAnsi="仿宋" w:eastAsia="仿宋" w:cs="仿宋"/>
          <w:color w:val="auto"/>
          <w:spacing w:val="1"/>
          <w:kern w:val="0"/>
          <w:sz w:val="24"/>
          <w:lang w:bidi="ar"/>
        </w:rPr>
        <w:t>的</w:t>
      </w:r>
      <w:r>
        <w:rPr>
          <w:rFonts w:hint="eastAsia" w:ascii="仿宋" w:hAnsi="仿宋" w:eastAsia="仿宋" w:cs="仿宋"/>
          <w:color w:val="auto"/>
          <w:kern w:val="0"/>
          <w:sz w:val="24"/>
          <w:lang w:bidi="ar"/>
        </w:rPr>
        <w:t>法定代表</w:t>
      </w:r>
      <w:r>
        <w:rPr>
          <w:rFonts w:hint="eastAsia" w:ascii="仿宋" w:hAnsi="仿宋" w:eastAsia="仿宋" w:cs="仿宋"/>
          <w:color w:val="auto"/>
          <w:spacing w:val="1"/>
          <w:kern w:val="0"/>
          <w:sz w:val="24"/>
          <w:lang w:bidi="ar"/>
        </w:rPr>
        <w:t>人</w:t>
      </w:r>
      <w:r>
        <w:rPr>
          <w:rFonts w:hint="eastAsia" w:ascii="仿宋" w:hAnsi="仿宋" w:eastAsia="仿宋" w:cs="仿宋"/>
          <w:color w:val="auto"/>
          <w:kern w:val="0"/>
          <w:sz w:val="24"/>
          <w:lang w:bidi="ar"/>
        </w:rPr>
        <w:t>，</w:t>
      </w:r>
      <w:r>
        <w:rPr>
          <w:rFonts w:hint="eastAsia" w:ascii="仿宋" w:hAnsi="仿宋" w:eastAsia="仿宋" w:cs="仿宋"/>
          <w:color w:val="auto"/>
          <w:spacing w:val="1"/>
          <w:kern w:val="0"/>
          <w:sz w:val="24"/>
          <w:lang w:bidi="ar"/>
        </w:rPr>
        <w:t>现</w:t>
      </w:r>
      <w:r>
        <w:rPr>
          <w:rFonts w:hint="eastAsia" w:ascii="仿宋" w:hAnsi="仿宋" w:eastAsia="仿宋" w:cs="仿宋"/>
          <w:color w:val="auto"/>
          <w:kern w:val="0"/>
          <w:sz w:val="24"/>
          <w:lang w:bidi="ar"/>
        </w:rPr>
        <w:t>委托</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spacing w:val="-1"/>
          <w:kern w:val="0"/>
          <w:sz w:val="24"/>
          <w:lang w:bidi="ar"/>
        </w:rPr>
        <w:t>（</w:t>
      </w:r>
      <w:r>
        <w:rPr>
          <w:rFonts w:hint="eastAsia" w:ascii="仿宋" w:hAnsi="仿宋" w:eastAsia="仿宋" w:cs="仿宋"/>
          <w:color w:val="auto"/>
          <w:kern w:val="0"/>
          <w:sz w:val="24"/>
          <w:lang w:bidi="ar"/>
        </w:rPr>
        <w:t>姓名）为我方代理人。代理人根据授权，以我方名义签署、澄清、说明、补正、提交</w:t>
      </w:r>
      <w:r>
        <w:rPr>
          <w:rFonts w:hint="eastAsia" w:ascii="仿宋" w:hAnsi="仿宋" w:eastAsia="仿宋" w:cs="仿宋"/>
          <w:color w:val="auto"/>
          <w:spacing w:val="-13"/>
          <w:kern w:val="0"/>
          <w:sz w:val="24"/>
          <w:lang w:bidi="ar"/>
        </w:rPr>
        <w:t>、</w:t>
      </w:r>
      <w:r>
        <w:rPr>
          <w:rFonts w:hint="eastAsia" w:ascii="仿宋" w:hAnsi="仿宋" w:eastAsia="仿宋" w:cs="仿宋"/>
          <w:color w:val="auto"/>
          <w:kern w:val="0"/>
          <w:sz w:val="24"/>
          <w:lang w:bidi="ar"/>
        </w:rPr>
        <w:t>撤回</w:t>
      </w:r>
      <w:r>
        <w:rPr>
          <w:rFonts w:hint="eastAsia" w:ascii="仿宋" w:hAnsi="仿宋" w:eastAsia="仿宋" w:cs="仿宋"/>
          <w:color w:val="auto"/>
          <w:spacing w:val="-13"/>
          <w:kern w:val="0"/>
          <w:sz w:val="24"/>
          <w:lang w:bidi="ar"/>
        </w:rPr>
        <w:t>、</w:t>
      </w:r>
      <w:r>
        <w:rPr>
          <w:rFonts w:hint="eastAsia" w:ascii="仿宋" w:hAnsi="仿宋" w:eastAsia="仿宋" w:cs="仿宋"/>
          <w:color w:val="auto"/>
          <w:kern w:val="0"/>
          <w:sz w:val="24"/>
          <w:lang w:bidi="ar"/>
        </w:rPr>
        <w:t>修改</w:t>
      </w:r>
      <w:r>
        <w:rPr>
          <w:rFonts w:hint="eastAsia" w:ascii="仿宋" w:hAnsi="仿宋" w:eastAsia="仿宋" w:cs="仿宋"/>
          <w:color w:val="auto"/>
          <w:sz w:val="24"/>
          <w:u w:val="single"/>
          <w:lang w:bidi="ar"/>
        </w:rPr>
        <w:t xml:space="preserve">      </w:t>
      </w:r>
      <w:r>
        <w:rPr>
          <w:rFonts w:hint="eastAsia" w:ascii="仿宋" w:hAnsi="仿宋" w:eastAsia="仿宋" w:cs="仿宋"/>
          <w:color w:val="auto"/>
          <w:sz w:val="24"/>
          <w:lang w:bidi="ar"/>
        </w:rPr>
        <w:t>（项目编号）的</w:t>
      </w:r>
      <w:r>
        <w:rPr>
          <w:rFonts w:hint="eastAsia" w:ascii="仿宋" w:hAnsi="仿宋" w:eastAsia="仿宋" w:cs="仿宋"/>
          <w:color w:val="auto"/>
          <w:sz w:val="24"/>
          <w:u w:val="single"/>
          <w:lang w:bidi="ar"/>
        </w:rPr>
        <w:t xml:space="preserve">       </w:t>
      </w:r>
      <w:r>
        <w:rPr>
          <w:rFonts w:hint="eastAsia" w:ascii="仿宋" w:hAnsi="仿宋" w:eastAsia="仿宋" w:cs="仿宋"/>
          <w:color w:val="auto"/>
          <w:sz w:val="24"/>
          <w:lang w:bidi="ar"/>
        </w:rPr>
        <w:t>（项目名称）的</w:t>
      </w:r>
      <w:r>
        <w:rPr>
          <w:rFonts w:hint="eastAsia" w:ascii="仿宋" w:hAnsi="仿宋" w:eastAsia="仿宋" w:cs="仿宋"/>
          <w:color w:val="auto"/>
          <w:kern w:val="0"/>
          <w:sz w:val="24"/>
          <w:lang w:bidi="ar"/>
        </w:rPr>
        <w:t>响应文件</w:t>
      </w:r>
      <w:r>
        <w:rPr>
          <w:rFonts w:hint="eastAsia" w:ascii="仿宋" w:hAnsi="仿宋" w:eastAsia="仿宋" w:cs="仿宋"/>
          <w:color w:val="auto"/>
          <w:spacing w:val="-13"/>
          <w:kern w:val="0"/>
          <w:sz w:val="24"/>
          <w:lang w:bidi="ar"/>
        </w:rPr>
        <w:t>、</w:t>
      </w:r>
      <w:r>
        <w:rPr>
          <w:rFonts w:hint="eastAsia" w:ascii="仿宋" w:hAnsi="仿宋" w:eastAsia="仿宋" w:cs="仿宋"/>
          <w:color w:val="auto"/>
          <w:kern w:val="0"/>
          <w:sz w:val="24"/>
          <w:lang w:bidi="ar"/>
        </w:rPr>
        <w:t>签订合同和处理有关事宜，其法律后果由我方承担。</w:t>
      </w:r>
    </w:p>
    <w:p w14:paraId="4E7C1D9B">
      <w:pPr>
        <w:widowControl/>
        <w:spacing w:before="12" w:line="360" w:lineRule="auto"/>
        <w:ind w:left="556" w:right="5491" w:hanging="14"/>
        <w:rPr>
          <w:rFonts w:hint="eastAsia" w:ascii="仿宋" w:hAnsi="仿宋" w:eastAsia="仿宋" w:cs="仿宋"/>
          <w:color w:val="auto"/>
          <w:kern w:val="0"/>
          <w:sz w:val="24"/>
        </w:rPr>
      </w:pPr>
      <w:r>
        <w:rPr>
          <w:rFonts w:hint="eastAsia" w:ascii="仿宋" w:hAnsi="仿宋" w:eastAsia="仿宋" w:cs="仿宋"/>
          <w:color w:val="auto"/>
          <w:kern w:val="0"/>
          <w:sz w:val="24"/>
          <w:lang w:bidi="ar"/>
        </w:rPr>
        <w:t>代理人无转委托权。</w:t>
      </w:r>
    </w:p>
    <w:p w14:paraId="0A888FE4">
      <w:pPr>
        <w:widowControl/>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bidi="ar"/>
        </w:rPr>
        <w:t>附：法定代表人（单位负责人）身份证复印件及委托代理人身份证复印件</w:t>
      </w:r>
    </w:p>
    <w:p w14:paraId="3404C35E">
      <w:pPr>
        <w:pStyle w:val="21"/>
        <w:spacing w:line="360" w:lineRule="auto"/>
        <w:ind w:firstLine="2976" w:firstLineChars="1240"/>
        <w:rPr>
          <w:rFonts w:hint="eastAsia" w:ascii="仿宋" w:hAnsi="仿宋" w:eastAsia="仿宋" w:cs="仿宋"/>
          <w:color w:val="auto"/>
          <w:sz w:val="24"/>
          <w:szCs w:val="24"/>
          <w:u w:val="single"/>
        </w:rPr>
      </w:pPr>
      <w:r>
        <w:rPr>
          <w:rFonts w:hint="eastAsia" w:ascii="仿宋" w:hAnsi="仿宋" w:eastAsia="仿宋" w:cs="仿宋"/>
          <w:color w:val="auto"/>
          <w:sz w:val="24"/>
          <w:szCs w:val="24"/>
        </w:rPr>
        <w:t>代理人：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性别：</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年龄：</w:t>
      </w:r>
      <w:r>
        <w:rPr>
          <w:rFonts w:hint="eastAsia" w:ascii="仿宋" w:hAnsi="仿宋" w:eastAsia="仿宋" w:cs="仿宋"/>
          <w:color w:val="auto"/>
          <w:sz w:val="24"/>
          <w:szCs w:val="24"/>
          <w:u w:val="single"/>
        </w:rPr>
        <w:t xml:space="preserve">     </w:t>
      </w:r>
    </w:p>
    <w:p w14:paraId="35C7C710">
      <w:pPr>
        <w:pStyle w:val="21"/>
        <w:spacing w:line="360" w:lineRule="auto"/>
        <w:ind w:firstLine="2976" w:firstLineChars="1240"/>
        <w:rPr>
          <w:rFonts w:hint="eastAsia" w:ascii="仿宋" w:hAnsi="仿宋" w:eastAsia="仿宋" w:cs="仿宋"/>
          <w:color w:val="auto"/>
          <w:sz w:val="24"/>
          <w:szCs w:val="24"/>
          <w:u w:val="single"/>
        </w:rPr>
      </w:pPr>
      <w:r>
        <w:rPr>
          <w:rFonts w:hint="eastAsia" w:ascii="仿宋" w:hAnsi="仿宋" w:eastAsia="仿宋" w:cs="仿宋"/>
          <w:color w:val="auto"/>
          <w:sz w:val="24"/>
          <w:szCs w:val="24"/>
        </w:rPr>
        <w:t>身份证号码：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职务：</w:t>
      </w:r>
      <w:r>
        <w:rPr>
          <w:rFonts w:hint="eastAsia" w:ascii="仿宋" w:hAnsi="仿宋" w:eastAsia="仿宋" w:cs="仿宋"/>
          <w:color w:val="auto"/>
          <w:sz w:val="24"/>
          <w:szCs w:val="24"/>
          <w:u w:val="single"/>
        </w:rPr>
        <w:t xml:space="preserve">      </w:t>
      </w:r>
    </w:p>
    <w:p w14:paraId="4C2C8974">
      <w:pPr>
        <w:pStyle w:val="21"/>
        <w:spacing w:line="360" w:lineRule="auto"/>
        <w:ind w:firstLine="2976" w:firstLineChars="1240"/>
        <w:rPr>
          <w:rFonts w:hint="eastAsia" w:ascii="仿宋" w:hAnsi="仿宋" w:eastAsia="仿宋" w:cs="仿宋"/>
          <w:color w:val="auto"/>
          <w:sz w:val="24"/>
          <w:szCs w:val="24"/>
          <w:u w:val="single"/>
        </w:rPr>
      </w:pPr>
      <w:r>
        <w:rPr>
          <w:rFonts w:hint="eastAsia" w:ascii="仿宋" w:hAnsi="仿宋" w:eastAsia="仿宋" w:cs="仿宋"/>
          <w:color w:val="auto"/>
          <w:sz w:val="24"/>
          <w:szCs w:val="24"/>
        </w:rPr>
        <w:t>供应商：</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（盖单位章）</w:t>
      </w:r>
    </w:p>
    <w:p w14:paraId="63A1FC68">
      <w:pPr>
        <w:pStyle w:val="21"/>
        <w:spacing w:line="360" w:lineRule="auto"/>
        <w:ind w:firstLine="2976" w:firstLineChars="1240"/>
        <w:rPr>
          <w:rFonts w:hint="eastAsia" w:ascii="仿宋" w:hAnsi="仿宋" w:eastAsia="仿宋" w:cs="仿宋"/>
          <w:color w:val="auto"/>
          <w:sz w:val="24"/>
          <w:szCs w:val="24"/>
        </w:rPr>
      </w:pPr>
      <w:r>
        <w:rPr>
          <w:rFonts w:hint="eastAsia" w:ascii="仿宋" w:hAnsi="仿宋" w:eastAsia="仿宋" w:cs="仿宋"/>
          <w:color w:val="auto"/>
          <w:sz w:val="24"/>
          <w:szCs w:val="24"/>
        </w:rPr>
        <w:t>法定代表人（单位负责人）：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（签字或盖章）</w:t>
      </w:r>
    </w:p>
    <w:p w14:paraId="585D16BE">
      <w:pPr>
        <w:pStyle w:val="21"/>
        <w:spacing w:line="360" w:lineRule="auto"/>
        <w:ind w:firstLine="2976" w:firstLineChars="1240"/>
        <w:rPr>
          <w:rFonts w:hint="eastAsia" w:ascii="仿宋" w:hAnsi="仿宋" w:eastAsia="仿宋" w:cs="仿宋"/>
          <w:color w:val="auto"/>
          <w:sz w:val="24"/>
          <w:szCs w:val="24"/>
        </w:rPr>
      </w:pPr>
      <w:r>
        <w:rPr>
          <w:rFonts w:hint="eastAsia" w:ascii="仿宋" w:hAnsi="仿宋" w:eastAsia="仿宋" w:cs="仿宋"/>
          <w:color w:val="auto"/>
          <w:sz w:val="24"/>
          <w:szCs w:val="24"/>
        </w:rPr>
        <w:t>授权委托日期：</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063E659F">
      <w:pPr>
        <w:widowControl/>
        <w:spacing w:before="2" w:line="100" w:lineRule="atLeast"/>
        <w:rPr>
          <w:rFonts w:hint="eastAsia" w:ascii="宋体" w:hAnsi="宋体" w:cs="宋体"/>
          <w:color w:val="auto"/>
          <w:kern w:val="0"/>
          <w:sz w:val="24"/>
        </w:rPr>
      </w:pPr>
    </w:p>
    <w:p w14:paraId="22CD3C23">
      <w:pPr>
        <w:widowControl/>
        <w:spacing w:line="295" w:lineRule="atLeast"/>
        <w:ind w:left="556" w:right="-20"/>
        <w:rPr>
          <w:rFonts w:hint="eastAsia" w:ascii="宋体" w:hAnsi="宋体" w:cs="宋体"/>
          <w:color w:val="auto"/>
          <w:kern w:val="0"/>
          <w:szCs w:val="21"/>
        </w:rPr>
      </w:pPr>
    </w:p>
    <w:p w14:paraId="3688C71C">
      <w:pPr>
        <w:rPr>
          <w:rFonts w:hint="eastAsia" w:ascii="宋体" w:hAnsi="宋体" w:cs="宋体"/>
          <w:color w:val="auto"/>
          <w:spacing w:val="12"/>
          <w:position w:val="-3"/>
          <w:sz w:val="24"/>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384B4015">
      <w:pPr>
        <w:pStyle w:val="3"/>
        <w:keepNext w:val="0"/>
        <w:widowControl/>
        <w:spacing w:before="120" w:after="120" w:line="240" w:lineRule="auto"/>
        <w:jc w:val="center"/>
        <w:rPr>
          <w:rFonts w:ascii="仿宋" w:hAnsi="仿宋" w:eastAsia="仿宋" w:cs="仿宋"/>
          <w:bCs w:val="0"/>
          <w:color w:val="auto"/>
          <w:sz w:val="30"/>
          <w:szCs w:val="30"/>
        </w:rPr>
      </w:pPr>
      <w:bookmarkStart w:id="567" w:name="_Toc466024593"/>
      <w:bookmarkStart w:id="568" w:name="_Toc445554790"/>
      <w:r>
        <w:rPr>
          <w:rFonts w:ascii="仿宋" w:hAnsi="仿宋" w:eastAsia="仿宋" w:cs="仿宋"/>
          <w:color w:val="auto"/>
          <w:kern w:val="0"/>
          <w:sz w:val="28"/>
          <w:szCs w:val="28"/>
        </w:rPr>
        <w:t>三、</w:t>
      </w:r>
      <w:bookmarkEnd w:id="567"/>
      <w:bookmarkEnd w:id="568"/>
      <w:r>
        <w:rPr>
          <w:rStyle w:val="19"/>
          <w:rFonts w:ascii="仿宋" w:hAnsi="仿宋" w:eastAsia="仿宋" w:cs="仿宋"/>
          <w:b/>
          <w:bCs w:val="0"/>
          <w:color w:val="auto"/>
          <w:sz w:val="30"/>
          <w:szCs w:val="30"/>
        </w:rPr>
        <w:t>响应报价一览表</w:t>
      </w:r>
    </w:p>
    <w:p w14:paraId="39E64756">
      <w:pPr>
        <w:widowControl/>
        <w:spacing w:line="333" w:lineRule="atLeast"/>
        <w:jc w:val="right"/>
        <w:rPr>
          <w:rFonts w:hint="eastAsia" w:ascii="仿宋" w:hAnsi="仿宋" w:eastAsia="仿宋" w:cs="仿宋"/>
          <w:color w:val="auto"/>
          <w:kern w:val="0"/>
          <w:szCs w:val="21"/>
        </w:rPr>
      </w:pPr>
      <w:r>
        <w:rPr>
          <w:rFonts w:hint="eastAsia" w:ascii="仿宋" w:hAnsi="仿宋" w:eastAsia="仿宋" w:cs="仿宋"/>
          <w:color w:val="auto"/>
          <w:spacing w:val="-1"/>
          <w:kern w:val="0"/>
          <w:position w:val="-4"/>
          <w:szCs w:val="21"/>
          <w:lang w:bidi="ar"/>
        </w:rPr>
        <w:t>货</w:t>
      </w:r>
      <w:r>
        <w:rPr>
          <w:rFonts w:hint="eastAsia" w:ascii="仿宋" w:hAnsi="仿宋" w:eastAsia="仿宋" w:cs="仿宋"/>
          <w:color w:val="auto"/>
          <w:kern w:val="0"/>
          <w:position w:val="-4"/>
          <w:szCs w:val="21"/>
          <w:lang w:bidi="ar"/>
        </w:rPr>
        <w:t>币单位</w:t>
      </w:r>
      <w:r>
        <w:rPr>
          <w:rFonts w:hint="eastAsia" w:ascii="仿宋" w:hAnsi="仿宋" w:eastAsia="仿宋" w:cs="仿宋"/>
          <w:color w:val="auto"/>
          <w:spacing w:val="-24"/>
          <w:kern w:val="0"/>
          <w:position w:val="-4"/>
          <w:szCs w:val="21"/>
          <w:lang w:bidi="ar"/>
        </w:rPr>
        <w:t>：</w:t>
      </w:r>
      <w:r>
        <w:rPr>
          <w:rFonts w:hint="eastAsia" w:ascii="仿宋" w:hAnsi="仿宋" w:eastAsia="仿宋" w:cs="仿宋"/>
          <w:color w:val="auto"/>
          <w:kern w:val="0"/>
          <w:position w:val="-4"/>
          <w:szCs w:val="21"/>
          <w:lang w:bidi="ar"/>
        </w:rPr>
        <w:t>人民币</w:t>
      </w:r>
    </w:p>
    <w:tbl>
      <w:tblPr>
        <w:tblStyle w:val="14"/>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2BCFB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524B82B0">
            <w:pPr>
              <w:widowControl/>
              <w:adjustRightInd w:val="0"/>
              <w:snapToGrid w:val="0"/>
              <w:jc w:val="center"/>
              <w:rPr>
                <w:rFonts w:hint="eastAsia" w:ascii="仿宋" w:hAnsi="仿宋" w:eastAsia="仿宋" w:cs="仿宋"/>
                <w:b/>
                <w:color w:val="auto"/>
                <w:kern w:val="0"/>
                <w:sz w:val="24"/>
              </w:rPr>
            </w:pPr>
            <w:r>
              <w:rPr>
                <w:rFonts w:hint="eastAsia" w:ascii="仿宋" w:hAnsi="仿宋" w:eastAsia="仿宋" w:cs="仿宋"/>
                <w:b/>
                <w:color w:val="auto"/>
                <w:kern w:val="0"/>
                <w:sz w:val="24"/>
                <w:lang w:bidi="ar"/>
              </w:rPr>
              <w:t>序号</w:t>
            </w:r>
          </w:p>
        </w:tc>
        <w:tc>
          <w:tcPr>
            <w:tcW w:w="2715" w:type="dxa"/>
            <w:tcBorders>
              <w:top w:val="single" w:color="000000" w:sz="6" w:space="0"/>
              <w:left w:val="single" w:color="000000" w:sz="6" w:space="0"/>
              <w:bottom w:val="single" w:color="000000" w:sz="6" w:space="0"/>
              <w:right w:val="single" w:color="000000" w:sz="6" w:space="0"/>
            </w:tcBorders>
            <w:vAlign w:val="center"/>
          </w:tcPr>
          <w:p w14:paraId="35E1689D">
            <w:pPr>
              <w:widowControl/>
              <w:adjustRightInd w:val="0"/>
              <w:snapToGrid w:val="0"/>
              <w:jc w:val="center"/>
              <w:rPr>
                <w:rFonts w:hint="eastAsia" w:ascii="仿宋" w:hAnsi="仿宋" w:eastAsia="仿宋" w:cs="仿宋"/>
                <w:b/>
                <w:color w:val="auto"/>
                <w:kern w:val="0"/>
                <w:sz w:val="24"/>
              </w:rPr>
            </w:pPr>
            <w:r>
              <w:rPr>
                <w:rFonts w:hint="eastAsia" w:ascii="仿宋" w:hAnsi="仿宋" w:eastAsia="仿宋" w:cs="仿宋"/>
                <w:b/>
                <w:color w:val="auto"/>
                <w:kern w:val="0"/>
                <w:sz w:val="24"/>
                <w:lang w:bidi="ar"/>
              </w:rPr>
              <w:t>项目</w:t>
            </w:r>
          </w:p>
        </w:tc>
        <w:tc>
          <w:tcPr>
            <w:tcW w:w="6095" w:type="dxa"/>
            <w:tcBorders>
              <w:top w:val="single" w:color="000000" w:sz="6" w:space="0"/>
              <w:left w:val="single" w:color="000000" w:sz="6" w:space="0"/>
              <w:bottom w:val="single" w:color="000000" w:sz="6" w:space="0"/>
              <w:right w:val="single" w:color="000000" w:sz="6" w:space="0"/>
            </w:tcBorders>
            <w:vAlign w:val="center"/>
          </w:tcPr>
          <w:p w14:paraId="23771E3D">
            <w:pPr>
              <w:widowControl/>
              <w:adjustRightInd w:val="0"/>
              <w:snapToGrid w:val="0"/>
              <w:jc w:val="center"/>
              <w:rPr>
                <w:rFonts w:hint="eastAsia" w:ascii="仿宋" w:hAnsi="仿宋" w:eastAsia="仿宋" w:cs="仿宋"/>
                <w:b/>
                <w:color w:val="auto"/>
                <w:kern w:val="0"/>
                <w:sz w:val="24"/>
              </w:rPr>
            </w:pPr>
            <w:r>
              <w:rPr>
                <w:rFonts w:hint="eastAsia" w:ascii="仿宋" w:hAnsi="仿宋" w:eastAsia="仿宋" w:cs="仿宋"/>
                <w:b/>
                <w:color w:val="auto"/>
                <w:kern w:val="0"/>
                <w:sz w:val="24"/>
                <w:lang w:bidi="ar"/>
              </w:rPr>
              <w:t>内容</w:t>
            </w:r>
          </w:p>
        </w:tc>
      </w:tr>
      <w:tr w14:paraId="3438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5BA24846">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7BBB8B2E">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项目名称</w:t>
            </w:r>
          </w:p>
        </w:tc>
        <w:tc>
          <w:tcPr>
            <w:tcW w:w="6095" w:type="dxa"/>
            <w:tcBorders>
              <w:top w:val="single" w:color="000000" w:sz="6" w:space="0"/>
              <w:left w:val="single" w:color="000000" w:sz="6" w:space="0"/>
              <w:bottom w:val="single" w:color="000000" w:sz="6" w:space="0"/>
              <w:right w:val="single" w:color="000000" w:sz="6" w:space="0"/>
            </w:tcBorders>
            <w:vAlign w:val="center"/>
          </w:tcPr>
          <w:p w14:paraId="64D7572C">
            <w:pPr>
              <w:widowControl/>
              <w:adjustRightInd w:val="0"/>
              <w:snapToGrid w:val="0"/>
              <w:rPr>
                <w:rFonts w:hint="eastAsia" w:ascii="仿宋" w:hAnsi="仿宋" w:eastAsia="仿宋" w:cs="仿宋"/>
                <w:color w:val="auto"/>
                <w:kern w:val="0"/>
                <w:sz w:val="24"/>
              </w:rPr>
            </w:pPr>
          </w:p>
        </w:tc>
      </w:tr>
      <w:tr w14:paraId="2BE7B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6A8C500E">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23E82698">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响应报价</w:t>
            </w:r>
          </w:p>
        </w:tc>
        <w:tc>
          <w:tcPr>
            <w:tcW w:w="6095" w:type="dxa"/>
            <w:tcBorders>
              <w:top w:val="single" w:color="000000" w:sz="6" w:space="0"/>
              <w:left w:val="single" w:color="000000" w:sz="6" w:space="0"/>
              <w:bottom w:val="single" w:color="000000" w:sz="6" w:space="0"/>
              <w:right w:val="single" w:color="000000" w:sz="6" w:space="0"/>
            </w:tcBorders>
            <w:vAlign w:val="center"/>
          </w:tcPr>
          <w:p w14:paraId="1C1D5237">
            <w:pPr>
              <w:widowControl/>
              <w:adjustRightInd w:val="0"/>
              <w:snapToGrid w:val="0"/>
              <w:rPr>
                <w:rFonts w:hint="eastAsia" w:ascii="仿宋" w:hAnsi="仿宋" w:eastAsia="仿宋" w:cs="仿宋"/>
                <w:color w:val="auto"/>
                <w:kern w:val="0"/>
                <w:sz w:val="24"/>
              </w:rPr>
            </w:pPr>
          </w:p>
        </w:tc>
      </w:tr>
      <w:tr w14:paraId="6B950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733A92BE">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291C80D4">
            <w:pPr>
              <w:widowControl/>
              <w:adjustRightInd w:val="0"/>
              <w:snapToGrid w:val="0"/>
              <w:spacing w:line="30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响应文件有效期</w:t>
            </w:r>
          </w:p>
        </w:tc>
        <w:tc>
          <w:tcPr>
            <w:tcW w:w="6095" w:type="dxa"/>
            <w:tcBorders>
              <w:top w:val="single" w:color="000000" w:sz="6" w:space="0"/>
              <w:left w:val="single" w:color="000000" w:sz="6" w:space="0"/>
              <w:bottom w:val="single" w:color="000000" w:sz="6" w:space="0"/>
              <w:right w:val="single" w:color="000000" w:sz="6" w:space="0"/>
            </w:tcBorders>
            <w:vAlign w:val="center"/>
          </w:tcPr>
          <w:p w14:paraId="45871DF5">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我方完全满足竞争性磋商文件要求</w:t>
            </w:r>
          </w:p>
        </w:tc>
      </w:tr>
      <w:tr w14:paraId="1371A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4FCB7F22">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4CD92B85">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lang w:bidi="ar"/>
              </w:rPr>
              <w:t>服务期限</w:t>
            </w:r>
          </w:p>
        </w:tc>
        <w:tc>
          <w:tcPr>
            <w:tcW w:w="6095" w:type="dxa"/>
            <w:tcBorders>
              <w:top w:val="single" w:color="000000" w:sz="6" w:space="0"/>
              <w:left w:val="single" w:color="000000" w:sz="6" w:space="0"/>
              <w:bottom w:val="single" w:color="000000" w:sz="6" w:space="0"/>
              <w:right w:val="single" w:color="000000" w:sz="6" w:space="0"/>
            </w:tcBorders>
            <w:vAlign w:val="center"/>
          </w:tcPr>
          <w:p w14:paraId="426763EF">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我方完全满足竞争性磋商文件要求</w:t>
            </w:r>
          </w:p>
        </w:tc>
      </w:tr>
      <w:tr w14:paraId="62DA9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093149FC">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42F006AA">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lang w:bidi="ar"/>
              </w:rPr>
              <w:t>质量要求</w:t>
            </w:r>
          </w:p>
        </w:tc>
        <w:tc>
          <w:tcPr>
            <w:tcW w:w="6095" w:type="dxa"/>
            <w:tcBorders>
              <w:top w:val="single" w:color="000000" w:sz="6" w:space="0"/>
              <w:left w:val="single" w:color="000000" w:sz="6" w:space="0"/>
              <w:bottom w:val="single" w:color="000000" w:sz="6" w:space="0"/>
              <w:right w:val="single" w:color="000000" w:sz="6" w:space="0"/>
            </w:tcBorders>
            <w:vAlign w:val="center"/>
          </w:tcPr>
          <w:p w14:paraId="0D3C717E">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我方完全满足竞争性磋商文件要求</w:t>
            </w:r>
          </w:p>
        </w:tc>
      </w:tr>
      <w:tr w14:paraId="2EAAF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77085482">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159EEFFF">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lang w:bidi="ar"/>
              </w:rPr>
              <w:t>付款方式</w:t>
            </w:r>
          </w:p>
        </w:tc>
        <w:tc>
          <w:tcPr>
            <w:tcW w:w="6095" w:type="dxa"/>
            <w:tcBorders>
              <w:top w:val="single" w:color="000000" w:sz="6" w:space="0"/>
              <w:left w:val="single" w:color="000000" w:sz="6" w:space="0"/>
              <w:bottom w:val="single" w:color="000000" w:sz="6" w:space="0"/>
              <w:right w:val="single" w:color="000000" w:sz="6" w:space="0"/>
            </w:tcBorders>
            <w:vAlign w:val="center"/>
          </w:tcPr>
          <w:p w14:paraId="0D69CB5A">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我方完全满足竞争性磋商文件要求</w:t>
            </w:r>
          </w:p>
        </w:tc>
      </w:tr>
      <w:tr w14:paraId="11C2B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705E08DE">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62871BB1">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lang w:bidi="ar"/>
              </w:rPr>
              <w:t>合同形式</w:t>
            </w:r>
          </w:p>
        </w:tc>
        <w:tc>
          <w:tcPr>
            <w:tcW w:w="6095" w:type="dxa"/>
            <w:tcBorders>
              <w:top w:val="single" w:color="000000" w:sz="6" w:space="0"/>
              <w:left w:val="single" w:color="000000" w:sz="6" w:space="0"/>
              <w:bottom w:val="single" w:color="000000" w:sz="6" w:space="0"/>
              <w:right w:val="single" w:color="000000" w:sz="6" w:space="0"/>
            </w:tcBorders>
            <w:vAlign w:val="center"/>
          </w:tcPr>
          <w:p w14:paraId="743E36A1">
            <w:pPr>
              <w:widowControl/>
              <w:adjustRightInd w:val="0"/>
              <w:snapToGrid w:val="0"/>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我方完全满足竞争性磋商文件要求</w:t>
            </w:r>
          </w:p>
        </w:tc>
      </w:tr>
      <w:tr w14:paraId="22948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tcBorders>
              <w:top w:val="single" w:color="000000" w:sz="6" w:space="0"/>
              <w:left w:val="single" w:color="000000" w:sz="6" w:space="0"/>
              <w:bottom w:val="single" w:color="000000" w:sz="6" w:space="0"/>
              <w:right w:val="single" w:color="000000" w:sz="6" w:space="0"/>
            </w:tcBorders>
            <w:vAlign w:val="center"/>
          </w:tcPr>
          <w:p w14:paraId="76D2815A">
            <w:pPr>
              <w:widowControl/>
              <w:numPr>
                <w:ilvl w:val="0"/>
                <w:numId w:val="3"/>
              </w:numPr>
              <w:adjustRightInd w:val="0"/>
              <w:snapToGrid w:val="0"/>
              <w:jc w:val="center"/>
              <w:rPr>
                <w:rFonts w:hint="eastAsia" w:ascii="仿宋" w:hAnsi="仿宋" w:eastAsia="仿宋" w:cs="仿宋"/>
                <w:color w:val="auto"/>
                <w:kern w:val="0"/>
                <w:sz w:val="24"/>
              </w:rPr>
            </w:pPr>
          </w:p>
        </w:tc>
        <w:tc>
          <w:tcPr>
            <w:tcW w:w="2715" w:type="dxa"/>
            <w:tcBorders>
              <w:top w:val="single" w:color="000000" w:sz="6" w:space="0"/>
              <w:left w:val="single" w:color="000000" w:sz="6" w:space="0"/>
              <w:bottom w:val="single" w:color="000000" w:sz="6" w:space="0"/>
              <w:right w:val="single" w:color="000000" w:sz="6" w:space="0"/>
            </w:tcBorders>
            <w:vAlign w:val="center"/>
          </w:tcPr>
          <w:p w14:paraId="04B95B53">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lang w:bidi="ar"/>
              </w:rPr>
              <w:t>备注</w:t>
            </w:r>
          </w:p>
        </w:tc>
        <w:tc>
          <w:tcPr>
            <w:tcW w:w="6095" w:type="dxa"/>
            <w:tcBorders>
              <w:top w:val="single" w:color="000000" w:sz="6" w:space="0"/>
              <w:left w:val="single" w:color="000000" w:sz="6" w:space="0"/>
              <w:bottom w:val="single" w:color="000000" w:sz="6" w:space="0"/>
              <w:right w:val="single" w:color="000000" w:sz="6" w:space="0"/>
            </w:tcBorders>
            <w:vAlign w:val="center"/>
          </w:tcPr>
          <w:p w14:paraId="55F13BEB">
            <w:pPr>
              <w:widowControl/>
              <w:adjustRightInd w:val="0"/>
              <w:snapToGrid w:val="0"/>
              <w:rPr>
                <w:rFonts w:hint="eastAsia" w:ascii="仿宋" w:hAnsi="仿宋" w:eastAsia="仿宋" w:cs="仿宋"/>
                <w:color w:val="auto"/>
                <w:kern w:val="0"/>
                <w:sz w:val="24"/>
              </w:rPr>
            </w:pPr>
          </w:p>
        </w:tc>
      </w:tr>
    </w:tbl>
    <w:p w14:paraId="37D074BA">
      <w:pPr>
        <w:widowControl/>
        <w:spacing w:line="200" w:lineRule="atLeast"/>
        <w:rPr>
          <w:rFonts w:hint="eastAsia" w:ascii="仿宋" w:hAnsi="仿宋" w:eastAsia="仿宋" w:cs="仿宋"/>
          <w:color w:val="auto"/>
          <w:kern w:val="0"/>
          <w:sz w:val="24"/>
        </w:rPr>
      </w:pPr>
    </w:p>
    <w:p w14:paraId="531AD9E3">
      <w:pPr>
        <w:widowControl/>
        <w:spacing w:before="18" w:line="280" w:lineRule="atLeast"/>
        <w:rPr>
          <w:rFonts w:hint="eastAsia" w:ascii="仿宋" w:hAnsi="仿宋" w:eastAsia="仿宋" w:cs="仿宋"/>
          <w:color w:val="auto"/>
          <w:kern w:val="0"/>
          <w:sz w:val="24"/>
        </w:rPr>
      </w:pPr>
    </w:p>
    <w:p w14:paraId="4825BCE5">
      <w:pPr>
        <w:widowControl/>
        <w:spacing w:line="360" w:lineRule="auto"/>
        <w:ind w:left="2977" w:right="-20"/>
        <w:jc w:val="right"/>
        <w:rPr>
          <w:rFonts w:hint="eastAsia" w:ascii="仿宋" w:hAnsi="仿宋" w:eastAsia="仿宋" w:cs="仿宋"/>
          <w:color w:val="auto"/>
          <w:kern w:val="0"/>
          <w:sz w:val="24"/>
        </w:rPr>
      </w:pPr>
      <w:r>
        <w:rPr>
          <w:rFonts w:hint="eastAsia" w:ascii="仿宋" w:hAnsi="仿宋" w:eastAsia="仿宋" w:cs="仿宋"/>
          <w:color w:val="auto"/>
          <w:kern w:val="0"/>
          <w:sz w:val="24"/>
          <w:lang w:bidi="ar"/>
        </w:rPr>
        <w:t>供应商：</w:t>
      </w:r>
      <w:r>
        <w:rPr>
          <w:rFonts w:hint="eastAsia" w:ascii="仿宋" w:hAnsi="仿宋" w:eastAsia="仿宋" w:cs="仿宋"/>
          <w:color w:val="auto"/>
          <w:spacing w:val="42"/>
          <w:kern w:val="0"/>
          <w:sz w:val="24"/>
          <w:u w:val="single"/>
          <w:lang w:bidi="ar"/>
        </w:rPr>
        <w:t xml:space="preserve"> </w:t>
      </w:r>
      <w:r>
        <w:rPr>
          <w:rFonts w:hint="eastAsia" w:ascii="仿宋" w:hAnsi="仿宋" w:eastAsia="仿宋" w:cs="仿宋"/>
          <w:color w:val="auto"/>
          <w:kern w:val="0"/>
          <w:sz w:val="24"/>
          <w:u w:val="single"/>
          <w:lang w:bidi="ar"/>
        </w:rPr>
        <w:t xml:space="preserve">                      </w:t>
      </w:r>
      <w:r>
        <w:rPr>
          <w:rFonts w:hint="eastAsia" w:ascii="仿宋" w:hAnsi="仿宋" w:eastAsia="仿宋" w:cs="仿宋"/>
          <w:color w:val="auto"/>
          <w:kern w:val="0"/>
          <w:sz w:val="24"/>
          <w:lang w:bidi="ar"/>
        </w:rPr>
        <w:t>（单位盖章）</w:t>
      </w:r>
    </w:p>
    <w:p w14:paraId="6ACC7874">
      <w:pPr>
        <w:pStyle w:val="21"/>
        <w:ind w:firstLine="2879"/>
        <w:jc w:val="right"/>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4135DD1F">
      <w:pPr>
        <w:widowControl/>
        <w:spacing w:line="200" w:lineRule="atLeast"/>
        <w:rPr>
          <w:rFonts w:hint="eastAsia" w:ascii="仿宋" w:hAnsi="仿宋" w:eastAsia="仿宋" w:cs="仿宋"/>
          <w:color w:val="auto"/>
          <w:kern w:val="0"/>
          <w:sz w:val="24"/>
        </w:rPr>
      </w:pPr>
    </w:p>
    <w:p w14:paraId="4A70C627">
      <w:pPr>
        <w:widowControl/>
        <w:rPr>
          <w:rFonts w:hint="eastAsia" w:ascii="宋体" w:hAnsi="宋体" w:cs="宋体"/>
          <w:color w:val="auto"/>
        </w:rPr>
      </w:pPr>
    </w:p>
    <w:p w14:paraId="636EA27A">
      <w:pPr>
        <w:rPr>
          <w:rFonts w:hint="eastAsia" w:ascii="宋体" w:hAnsi="宋体" w:cs="宋体"/>
          <w:color w:val="auto"/>
          <w:lang w:bidi="ar"/>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265C1A22">
      <w:pPr>
        <w:widowControl/>
        <w:spacing w:line="200" w:lineRule="atLeast"/>
        <w:rPr>
          <w:rFonts w:hint="eastAsia" w:ascii="宋体" w:hAnsi="宋体" w:cs="宋体"/>
          <w:color w:val="auto"/>
          <w:kern w:val="0"/>
          <w:szCs w:val="21"/>
        </w:rPr>
      </w:pPr>
      <w:bookmarkStart w:id="569" w:name="_Toc445554800"/>
      <w:bookmarkStart w:id="570" w:name="_Toc466024605"/>
      <w:bookmarkStart w:id="571" w:name="_Toc466024595"/>
      <w:bookmarkStart w:id="572" w:name="_Toc445554792"/>
    </w:p>
    <w:p w14:paraId="36634ED6">
      <w:pPr>
        <w:pStyle w:val="3"/>
        <w:keepNext w:val="0"/>
        <w:widowControl/>
        <w:spacing w:before="120" w:after="120" w:line="240" w:lineRule="auto"/>
        <w:jc w:val="center"/>
        <w:rPr>
          <w:rFonts w:ascii="仿宋" w:hAnsi="仿宋" w:eastAsia="仿宋" w:cs="仿宋"/>
          <w:bCs w:val="0"/>
          <w:color w:val="auto"/>
          <w:sz w:val="30"/>
          <w:szCs w:val="30"/>
        </w:rPr>
      </w:pPr>
      <w:bookmarkStart w:id="573" w:name="_Toc466024589"/>
      <w:r>
        <w:rPr>
          <w:rStyle w:val="19"/>
          <w:rFonts w:ascii="仿宋" w:hAnsi="仿宋" w:eastAsia="仿宋" w:cs="仿宋"/>
          <w:b/>
          <w:bCs/>
          <w:color w:val="auto"/>
          <w:sz w:val="30"/>
          <w:szCs w:val="30"/>
        </w:rPr>
        <w:t>四、</w:t>
      </w:r>
      <w:bookmarkEnd w:id="573"/>
      <w:r>
        <w:rPr>
          <w:rStyle w:val="19"/>
          <w:rFonts w:ascii="仿宋" w:hAnsi="仿宋" w:eastAsia="仿宋" w:cs="仿宋"/>
          <w:b/>
          <w:bCs w:val="0"/>
          <w:color w:val="auto"/>
          <w:sz w:val="30"/>
          <w:szCs w:val="30"/>
        </w:rPr>
        <w:t>响应/偏离表</w:t>
      </w:r>
    </w:p>
    <w:p w14:paraId="1AD44255">
      <w:pPr>
        <w:tabs>
          <w:tab w:val="left" w:pos="4860"/>
        </w:tabs>
        <w:adjustRightInd w:val="0"/>
        <w:snapToGrid w:val="0"/>
        <w:spacing w:before="120" w:after="120" w:line="480" w:lineRule="auto"/>
        <w:ind w:right="504"/>
        <w:jc w:val="center"/>
        <w:rPr>
          <w:rFonts w:hint="eastAsia" w:ascii="仿宋" w:hAnsi="仿宋" w:eastAsia="仿宋" w:cs="仿宋"/>
          <w:b/>
          <w:color w:val="auto"/>
          <w:sz w:val="24"/>
          <w:szCs w:val="28"/>
        </w:rPr>
      </w:pPr>
      <w:r>
        <w:rPr>
          <w:rFonts w:hint="eastAsia" w:ascii="仿宋" w:hAnsi="仿宋" w:eastAsia="仿宋" w:cs="仿宋"/>
          <w:b/>
          <w:color w:val="auto"/>
          <w:sz w:val="24"/>
          <w:szCs w:val="28"/>
          <w:lang w:bidi="ar"/>
        </w:rPr>
        <w:t>响应文件偏离表</w:t>
      </w:r>
    </w:p>
    <w:p w14:paraId="5C018182">
      <w:pPr>
        <w:adjustRightInd w:val="0"/>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u w:val="single"/>
          <w:lang w:bidi="ar"/>
        </w:rPr>
        <w:t>合肥综合性科学中心环境研究院</w:t>
      </w:r>
    </w:p>
    <w:p w14:paraId="40D22EC5">
      <w:pPr>
        <w:wordWrap w:val="0"/>
        <w:adjustRightInd w:val="0"/>
        <w:snapToGrid w:val="0"/>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lang w:bidi="ar"/>
        </w:rPr>
        <w:t>经过认真研究</w:t>
      </w:r>
      <w:r>
        <w:rPr>
          <w:rFonts w:hint="eastAsia" w:ascii="仿宋" w:hAnsi="仿宋" w:eastAsia="仿宋" w:cs="仿宋"/>
          <w:color w:val="auto"/>
          <w:sz w:val="24"/>
          <w:u w:val="single"/>
          <w:lang w:bidi="ar"/>
        </w:rPr>
        <w:t xml:space="preserve">            </w:t>
      </w:r>
      <w:r>
        <w:rPr>
          <w:rFonts w:hint="eastAsia" w:ascii="仿宋" w:hAnsi="仿宋" w:eastAsia="仿宋" w:cs="仿宋"/>
          <w:color w:val="auto"/>
          <w:sz w:val="24"/>
          <w:lang w:bidi="ar"/>
        </w:rPr>
        <w:t>（项目名称）竞争性磋商文件中所列商务、技术要求及合同条款，我公司确认，对竞争性磋商文件所列商务要求及合同条款，除下列偏离表所列情况外，我方响应情况全部为“无偏离”。</w:t>
      </w:r>
    </w:p>
    <w:tbl>
      <w:tblPr>
        <w:tblStyle w:val="14"/>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711"/>
        <w:gridCol w:w="2700"/>
        <w:gridCol w:w="1980"/>
      </w:tblGrid>
      <w:tr w14:paraId="23B3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6" w:type="dxa"/>
            <w:tcBorders>
              <w:top w:val="single" w:color="auto" w:sz="4" w:space="0"/>
              <w:left w:val="single" w:color="auto" w:sz="4" w:space="0"/>
              <w:bottom w:val="single" w:color="auto" w:sz="4" w:space="0"/>
              <w:right w:val="single" w:color="auto" w:sz="4" w:space="0"/>
            </w:tcBorders>
            <w:vAlign w:val="center"/>
          </w:tcPr>
          <w:p w14:paraId="5A590D89">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711" w:type="dxa"/>
            <w:tcBorders>
              <w:top w:val="single" w:color="auto" w:sz="4" w:space="0"/>
              <w:left w:val="single" w:color="auto" w:sz="4" w:space="0"/>
              <w:bottom w:val="single" w:color="auto" w:sz="4" w:space="0"/>
              <w:right w:val="single" w:color="auto" w:sz="4" w:space="0"/>
            </w:tcBorders>
            <w:vAlign w:val="center"/>
          </w:tcPr>
          <w:p w14:paraId="25693609">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竞争性磋商文件中商务、技术要求及合同条款</w:t>
            </w:r>
          </w:p>
        </w:tc>
        <w:tc>
          <w:tcPr>
            <w:tcW w:w="2700" w:type="dxa"/>
            <w:tcBorders>
              <w:top w:val="single" w:color="auto" w:sz="4" w:space="0"/>
              <w:left w:val="single" w:color="auto" w:sz="4" w:space="0"/>
              <w:bottom w:val="single" w:color="auto" w:sz="4" w:space="0"/>
              <w:right w:val="single" w:color="auto" w:sz="4" w:space="0"/>
            </w:tcBorders>
            <w:vAlign w:val="center"/>
          </w:tcPr>
          <w:p w14:paraId="504AB503">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供应商的响应内容</w:t>
            </w:r>
          </w:p>
        </w:tc>
        <w:tc>
          <w:tcPr>
            <w:tcW w:w="1980" w:type="dxa"/>
            <w:tcBorders>
              <w:top w:val="single" w:color="auto" w:sz="4" w:space="0"/>
              <w:left w:val="single" w:color="auto" w:sz="4" w:space="0"/>
              <w:bottom w:val="single" w:color="auto" w:sz="4" w:space="0"/>
              <w:right w:val="single" w:color="auto" w:sz="4" w:space="0"/>
            </w:tcBorders>
            <w:vAlign w:val="center"/>
          </w:tcPr>
          <w:p w14:paraId="5D0F0157">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偏离及影响（正偏离/负偏离）</w:t>
            </w:r>
          </w:p>
        </w:tc>
      </w:tr>
      <w:tr w14:paraId="742F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304BB51C">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2711" w:type="dxa"/>
            <w:tcBorders>
              <w:top w:val="single" w:color="auto" w:sz="4" w:space="0"/>
              <w:left w:val="single" w:color="auto" w:sz="4" w:space="0"/>
              <w:bottom w:val="single" w:color="auto" w:sz="4" w:space="0"/>
              <w:right w:val="single" w:color="auto" w:sz="4" w:space="0"/>
            </w:tcBorders>
          </w:tcPr>
          <w:p w14:paraId="636FCF2F">
            <w:pPr>
              <w:adjustRightInd w:val="0"/>
              <w:snapToGrid w:val="0"/>
              <w:spacing w:line="300" w:lineRule="auto"/>
              <w:jc w:val="center"/>
              <w:rPr>
                <w:rFonts w:hint="eastAsia" w:ascii="仿宋" w:hAnsi="仿宋" w:eastAsia="仿宋" w:cs="仿宋"/>
                <w:color w:val="auto"/>
                <w:sz w:val="24"/>
              </w:rPr>
            </w:pPr>
          </w:p>
        </w:tc>
        <w:tc>
          <w:tcPr>
            <w:tcW w:w="2700" w:type="dxa"/>
            <w:tcBorders>
              <w:top w:val="single" w:color="auto" w:sz="4" w:space="0"/>
              <w:left w:val="single" w:color="auto" w:sz="4" w:space="0"/>
              <w:bottom w:val="single" w:color="auto" w:sz="4" w:space="0"/>
              <w:right w:val="single" w:color="auto" w:sz="4" w:space="0"/>
            </w:tcBorders>
          </w:tcPr>
          <w:p w14:paraId="536C1A03">
            <w:pPr>
              <w:adjustRightInd w:val="0"/>
              <w:snapToGrid w:val="0"/>
              <w:spacing w:line="300" w:lineRule="auto"/>
              <w:jc w:val="center"/>
              <w:rPr>
                <w:rFonts w:hint="eastAsia" w:ascii="仿宋" w:hAnsi="仿宋" w:eastAsia="仿宋" w:cs="仿宋"/>
                <w:color w:val="auto"/>
                <w:sz w:val="24"/>
              </w:rPr>
            </w:pPr>
          </w:p>
        </w:tc>
        <w:tc>
          <w:tcPr>
            <w:tcW w:w="1980" w:type="dxa"/>
            <w:tcBorders>
              <w:top w:val="single" w:color="auto" w:sz="4" w:space="0"/>
              <w:left w:val="single" w:color="auto" w:sz="4" w:space="0"/>
              <w:bottom w:val="single" w:color="auto" w:sz="4" w:space="0"/>
              <w:right w:val="single" w:color="auto" w:sz="4" w:space="0"/>
            </w:tcBorders>
          </w:tcPr>
          <w:p w14:paraId="752EBA0E">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□正偏离</w:t>
            </w:r>
          </w:p>
          <w:p w14:paraId="1CA4AA8B">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kern w:val="0"/>
                <w:sz w:val="24"/>
              </w:rPr>
              <w:t>□负偏离</w:t>
            </w:r>
          </w:p>
        </w:tc>
      </w:tr>
      <w:tr w14:paraId="3222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550D68F0">
            <w:pPr>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2711" w:type="dxa"/>
            <w:tcBorders>
              <w:top w:val="single" w:color="auto" w:sz="4" w:space="0"/>
              <w:left w:val="single" w:color="auto" w:sz="4" w:space="0"/>
              <w:bottom w:val="single" w:color="auto" w:sz="4" w:space="0"/>
              <w:right w:val="single" w:color="auto" w:sz="4" w:space="0"/>
            </w:tcBorders>
          </w:tcPr>
          <w:p w14:paraId="7E7FABE8">
            <w:pPr>
              <w:adjustRightInd w:val="0"/>
              <w:snapToGrid w:val="0"/>
              <w:spacing w:line="300" w:lineRule="auto"/>
              <w:jc w:val="center"/>
              <w:rPr>
                <w:rFonts w:hint="eastAsia" w:ascii="仿宋" w:hAnsi="仿宋" w:eastAsia="仿宋" w:cs="仿宋"/>
                <w:color w:val="auto"/>
                <w:sz w:val="24"/>
              </w:rPr>
            </w:pPr>
          </w:p>
        </w:tc>
        <w:tc>
          <w:tcPr>
            <w:tcW w:w="2700" w:type="dxa"/>
            <w:tcBorders>
              <w:top w:val="single" w:color="auto" w:sz="4" w:space="0"/>
              <w:left w:val="single" w:color="auto" w:sz="4" w:space="0"/>
              <w:bottom w:val="single" w:color="auto" w:sz="4" w:space="0"/>
              <w:right w:val="single" w:color="auto" w:sz="4" w:space="0"/>
            </w:tcBorders>
          </w:tcPr>
          <w:p w14:paraId="02F2D2A1">
            <w:pPr>
              <w:adjustRightInd w:val="0"/>
              <w:snapToGrid w:val="0"/>
              <w:spacing w:line="300" w:lineRule="auto"/>
              <w:jc w:val="center"/>
              <w:rPr>
                <w:rFonts w:hint="eastAsia" w:ascii="仿宋" w:hAnsi="仿宋" w:eastAsia="仿宋" w:cs="仿宋"/>
                <w:color w:val="auto"/>
                <w:sz w:val="24"/>
              </w:rPr>
            </w:pPr>
          </w:p>
        </w:tc>
        <w:tc>
          <w:tcPr>
            <w:tcW w:w="1980" w:type="dxa"/>
            <w:tcBorders>
              <w:top w:val="single" w:color="auto" w:sz="4" w:space="0"/>
              <w:left w:val="single" w:color="auto" w:sz="4" w:space="0"/>
              <w:bottom w:val="single" w:color="auto" w:sz="4" w:space="0"/>
              <w:right w:val="single" w:color="auto" w:sz="4" w:space="0"/>
            </w:tcBorders>
          </w:tcPr>
          <w:p w14:paraId="38871AF8">
            <w:pPr>
              <w:adjustRightInd w:val="0"/>
              <w:snapToGrid w:val="0"/>
              <w:spacing w:line="300" w:lineRule="auto"/>
              <w:jc w:val="center"/>
              <w:rPr>
                <w:rFonts w:hint="eastAsia" w:ascii="仿宋" w:hAnsi="仿宋" w:eastAsia="仿宋" w:cs="仿宋"/>
                <w:color w:val="auto"/>
                <w:sz w:val="24"/>
              </w:rPr>
            </w:pPr>
          </w:p>
        </w:tc>
      </w:tr>
    </w:tbl>
    <w:p w14:paraId="6C52FA2E">
      <w:pPr>
        <w:widowControl/>
        <w:adjustRightInd w:val="0"/>
        <w:snapToGrid w:val="0"/>
        <w:spacing w:line="360" w:lineRule="auto"/>
        <w:jc w:val="left"/>
        <w:rPr>
          <w:rFonts w:hint="eastAsia" w:ascii="仿宋" w:hAnsi="仿宋" w:eastAsia="仿宋" w:cs="仿宋"/>
          <w:color w:val="auto"/>
          <w:kern w:val="0"/>
          <w:sz w:val="24"/>
        </w:rPr>
      </w:pPr>
    </w:p>
    <w:p w14:paraId="4654B99C">
      <w:pPr>
        <w:widowControl/>
        <w:adjustRightInd w:val="0"/>
        <w:snapToGrid w:val="0"/>
        <w:spacing w:line="360" w:lineRule="auto"/>
        <w:jc w:val="right"/>
        <w:rPr>
          <w:rFonts w:hint="eastAsia" w:ascii="仿宋" w:hAnsi="仿宋" w:eastAsia="仿宋" w:cs="仿宋"/>
          <w:color w:val="auto"/>
          <w:kern w:val="0"/>
          <w:sz w:val="24"/>
        </w:rPr>
      </w:pPr>
      <w:r>
        <w:rPr>
          <w:rFonts w:hint="eastAsia" w:ascii="仿宋" w:hAnsi="仿宋" w:eastAsia="仿宋" w:cs="仿宋"/>
          <w:color w:val="auto"/>
          <w:kern w:val="0"/>
          <w:sz w:val="24"/>
          <w:lang w:bidi="ar"/>
        </w:rPr>
        <w:t>供应商：</w:t>
      </w:r>
      <w:r>
        <w:rPr>
          <w:rFonts w:hint="eastAsia" w:ascii="仿宋" w:hAnsi="仿宋" w:eastAsia="仿宋" w:cs="仿宋"/>
          <w:color w:val="auto"/>
          <w:kern w:val="0"/>
          <w:sz w:val="24"/>
          <w:u w:val="single"/>
          <w:lang w:bidi="ar"/>
        </w:rPr>
        <w:t xml:space="preserve">               （单位盖章）</w:t>
      </w:r>
    </w:p>
    <w:p w14:paraId="3B617C19">
      <w:pPr>
        <w:pStyle w:val="21"/>
        <w:ind w:firstLine="2879"/>
        <w:jc w:val="right"/>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25E2B089">
      <w:pPr>
        <w:adjustRightInd w:val="0"/>
        <w:snapToGrid w:val="0"/>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bidi="ar"/>
        </w:rPr>
        <w:t>注：1、“无偏离”指与竞争性磋商文件要求一致，“正偏离”指优于竞争性磋商文件要求；“负偏离”指低于竞争性磋商文件要求。</w:t>
      </w:r>
    </w:p>
    <w:p w14:paraId="049B4F5D">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2、无论正偏离或负偏离，供应商均需在“供应商的响应内容”一栏中列明响应的详细内容，否则视同供应商响应情况为“无偏离”。</w:t>
      </w:r>
    </w:p>
    <w:p w14:paraId="55406339">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3、如供应商未在上述偏离表中填写内容，视同供应商响应情况为“无偏离”。</w:t>
      </w:r>
    </w:p>
    <w:p w14:paraId="222B63A4">
      <w:pPr>
        <w:widowControl/>
        <w:jc w:val="center"/>
        <w:rPr>
          <w:rFonts w:hint="eastAsia" w:ascii="宋体" w:hAnsi="宋体" w:cs="宋体"/>
          <w:color w:val="auto"/>
        </w:rPr>
      </w:pPr>
      <w:r>
        <w:rPr>
          <w:rFonts w:hint="eastAsia" w:ascii="宋体" w:hAnsi="宋体" w:cs="宋体"/>
          <w:color w:val="auto"/>
          <w:szCs w:val="21"/>
          <w:lang w:bidi="ar"/>
        </w:rPr>
        <w:br w:type="page"/>
      </w:r>
    </w:p>
    <w:p w14:paraId="759A4D90">
      <w:pPr>
        <w:widowControl/>
        <w:spacing w:line="200" w:lineRule="atLeast"/>
        <w:rPr>
          <w:rFonts w:hint="eastAsia" w:ascii="宋体" w:hAnsi="宋体" w:cs="宋体"/>
          <w:color w:val="auto"/>
          <w:kern w:val="0"/>
          <w:sz w:val="20"/>
          <w:szCs w:val="20"/>
        </w:rPr>
      </w:pPr>
    </w:p>
    <w:p w14:paraId="3B9E75FD">
      <w:pPr>
        <w:keepNext/>
        <w:keepLines/>
        <w:widowControl/>
        <w:adjustRightInd w:val="0"/>
        <w:snapToGrid w:val="0"/>
        <w:spacing w:line="360" w:lineRule="auto"/>
        <w:jc w:val="center"/>
        <w:outlineLvl w:val="1"/>
        <w:rPr>
          <w:rFonts w:hint="eastAsia" w:ascii="仿宋" w:hAnsi="仿宋" w:eastAsia="仿宋" w:cs="仿宋"/>
          <w:b/>
          <w:color w:val="auto"/>
          <w:sz w:val="32"/>
          <w:szCs w:val="32"/>
        </w:rPr>
      </w:pPr>
      <w:r>
        <w:rPr>
          <w:rStyle w:val="19"/>
          <w:rFonts w:hint="default" w:ascii="仿宋" w:hAnsi="仿宋" w:eastAsia="仿宋" w:cs="仿宋"/>
          <w:bCs w:val="0"/>
          <w:color w:val="auto"/>
          <w:sz w:val="30"/>
          <w:szCs w:val="30"/>
        </w:rPr>
        <w:t>五、</w:t>
      </w:r>
      <w:bookmarkEnd w:id="569"/>
      <w:bookmarkEnd w:id="570"/>
      <w:r>
        <w:rPr>
          <w:rFonts w:hint="eastAsia" w:ascii="仿宋" w:hAnsi="仿宋" w:eastAsia="仿宋" w:cs="仿宋"/>
          <w:b/>
          <w:color w:val="auto"/>
          <w:sz w:val="32"/>
          <w:szCs w:val="32"/>
          <w:lang w:bidi="ar"/>
        </w:rPr>
        <w:t>服务方案</w:t>
      </w:r>
    </w:p>
    <w:p w14:paraId="49213B4F">
      <w:pPr>
        <w:widowControl/>
        <w:spacing w:line="200" w:lineRule="atLeast"/>
        <w:rPr>
          <w:rFonts w:hint="eastAsia" w:ascii="宋体" w:hAnsi="宋体" w:cs="宋体"/>
          <w:color w:val="auto"/>
          <w:kern w:val="0"/>
          <w:sz w:val="20"/>
          <w:szCs w:val="20"/>
        </w:rPr>
      </w:pPr>
    </w:p>
    <w:p w14:paraId="1AED1BB8">
      <w:pPr>
        <w:widowControl/>
        <w:rPr>
          <w:rFonts w:hint="eastAsia" w:ascii="宋体" w:hAnsi="宋体" w:cs="宋体"/>
          <w:color w:val="auto"/>
        </w:rPr>
      </w:pPr>
    </w:p>
    <w:p w14:paraId="154D2967">
      <w:pPr>
        <w:spacing w:line="360" w:lineRule="auto"/>
        <w:rPr>
          <w:rFonts w:hint="eastAsia" w:ascii="宋体" w:hAnsi="宋体" w:cs="宋体"/>
          <w:b/>
          <w:color w:val="auto"/>
          <w:szCs w:val="21"/>
          <w:lang w:bidi="en-US"/>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p w14:paraId="4C3A19CD">
      <w:pPr>
        <w:keepNext/>
        <w:keepLines/>
        <w:widowControl/>
        <w:adjustRightInd w:val="0"/>
        <w:snapToGrid w:val="0"/>
        <w:spacing w:line="360" w:lineRule="auto"/>
        <w:jc w:val="center"/>
        <w:outlineLvl w:val="1"/>
        <w:rPr>
          <w:rFonts w:hint="eastAsia" w:ascii="仿宋" w:hAnsi="仿宋" w:eastAsia="仿宋" w:cs="仿宋"/>
          <w:b/>
          <w:color w:val="auto"/>
          <w:sz w:val="32"/>
          <w:szCs w:val="32"/>
        </w:rPr>
      </w:pPr>
      <w:bookmarkStart w:id="574" w:name="_Toc445554802"/>
      <w:bookmarkEnd w:id="574"/>
      <w:bookmarkStart w:id="575" w:name="_Toc72431438"/>
      <w:bookmarkStart w:id="576" w:name="_Toc72431762"/>
      <w:bookmarkStart w:id="577" w:name="_Toc445554803"/>
      <w:r>
        <w:rPr>
          <w:rFonts w:hint="eastAsia" w:ascii="仿宋" w:hAnsi="仿宋" w:eastAsia="仿宋" w:cs="仿宋"/>
          <w:b/>
          <w:color w:val="auto"/>
          <w:sz w:val="32"/>
          <w:szCs w:val="32"/>
          <w:lang w:bidi="ar"/>
        </w:rPr>
        <w:t>六、书面承诺函</w:t>
      </w:r>
      <w:bookmarkEnd w:id="575"/>
      <w:bookmarkEnd w:id="576"/>
    </w:p>
    <w:p w14:paraId="6BFCAEF4">
      <w:pPr>
        <w:tabs>
          <w:tab w:val="left" w:pos="750"/>
          <w:tab w:val="left" w:pos="2755"/>
        </w:tabs>
        <w:adjustRightInd w:val="0"/>
        <w:snapToGrid w:val="0"/>
        <w:spacing w:line="360" w:lineRule="auto"/>
        <w:ind w:left="115" w:right="16"/>
        <w:rPr>
          <w:rFonts w:hint="eastAsia" w:ascii="仿宋" w:hAnsi="仿宋" w:eastAsia="仿宋" w:cs="仿宋"/>
          <w:color w:val="auto"/>
          <w:sz w:val="24"/>
          <w:u w:val="single"/>
        </w:rPr>
      </w:pPr>
      <w:r>
        <w:rPr>
          <w:rFonts w:hint="eastAsia" w:ascii="仿宋" w:hAnsi="仿宋" w:eastAsia="仿宋" w:cs="仿宋"/>
          <w:color w:val="auto"/>
          <w:sz w:val="24"/>
          <w:lang w:bidi="ar"/>
        </w:rPr>
        <w:t>致：</w:t>
      </w:r>
      <w:r>
        <w:rPr>
          <w:rFonts w:hint="eastAsia" w:ascii="仿宋" w:hAnsi="仿宋" w:eastAsia="仿宋" w:cs="仿宋"/>
          <w:color w:val="auto"/>
          <w:sz w:val="24"/>
          <w:u w:val="single"/>
          <w:lang w:bidi="ar"/>
        </w:rPr>
        <w:t>合肥综合性科学中心环境研究院</w:t>
      </w:r>
    </w:p>
    <w:p w14:paraId="57D0AC8B">
      <w:pPr>
        <w:tabs>
          <w:tab w:val="left" w:pos="5347"/>
          <w:tab w:val="left" w:pos="8501"/>
        </w:tabs>
        <w:adjustRightInd w:val="0"/>
        <w:snapToGrid w:val="0"/>
        <w:spacing w:line="360" w:lineRule="auto"/>
        <w:ind w:left="115" w:right="106" w:firstLine="480"/>
        <w:rPr>
          <w:rFonts w:hint="eastAsia" w:ascii="仿宋" w:hAnsi="仿宋" w:eastAsia="仿宋" w:cs="仿宋"/>
          <w:color w:val="auto"/>
          <w:sz w:val="24"/>
        </w:rPr>
      </w:pPr>
      <w:r>
        <w:rPr>
          <w:rFonts w:hint="eastAsia" w:ascii="仿宋" w:hAnsi="仿宋" w:eastAsia="仿宋" w:cs="仿宋"/>
          <w:color w:val="auto"/>
          <w:spacing w:val="2"/>
          <w:sz w:val="24"/>
          <w:lang w:bidi="ar"/>
        </w:rPr>
        <w:t>就贵方</w:t>
      </w:r>
      <w:r>
        <w:rPr>
          <w:rFonts w:hint="eastAsia" w:ascii="仿宋" w:hAnsi="仿宋" w:eastAsia="仿宋" w:cs="仿宋"/>
          <w:color w:val="auto"/>
          <w:spacing w:val="4"/>
          <w:sz w:val="24"/>
          <w:lang w:bidi="ar"/>
        </w:rPr>
        <w:t>的</w:t>
      </w:r>
      <w:r>
        <w:rPr>
          <w:rFonts w:hint="eastAsia" w:ascii="仿宋" w:hAnsi="仿宋" w:eastAsia="仿宋" w:cs="仿宋"/>
          <w:color w:val="auto"/>
          <w:spacing w:val="4"/>
          <w:sz w:val="24"/>
          <w:u w:val="single"/>
          <w:lang w:bidi="ar"/>
        </w:rPr>
        <w:t xml:space="preserve"> </w:t>
      </w:r>
      <w:r>
        <w:rPr>
          <w:rFonts w:hint="eastAsia" w:ascii="仿宋" w:hAnsi="仿宋" w:eastAsia="仿宋" w:cs="仿宋"/>
          <w:color w:val="auto"/>
          <w:sz w:val="24"/>
          <w:u w:val="single"/>
          <w:lang w:bidi="ar"/>
        </w:rPr>
        <w:t xml:space="preserve">              </w:t>
      </w:r>
      <w:r>
        <w:rPr>
          <w:rFonts w:hint="eastAsia" w:ascii="仿宋" w:hAnsi="仿宋" w:eastAsia="仿宋" w:cs="仿宋"/>
          <w:color w:val="auto"/>
          <w:spacing w:val="-1"/>
          <w:sz w:val="24"/>
          <w:u w:val="single"/>
          <w:lang w:bidi="ar"/>
        </w:rPr>
        <w:t xml:space="preserve"> </w:t>
      </w:r>
      <w:r>
        <w:rPr>
          <w:rFonts w:hint="eastAsia" w:ascii="仿宋" w:hAnsi="仿宋" w:eastAsia="仿宋" w:cs="仿宋"/>
          <w:color w:val="auto"/>
          <w:spacing w:val="-1"/>
          <w:sz w:val="24"/>
          <w:lang w:bidi="ar"/>
        </w:rPr>
        <w:t>（项目名称），我方现做出以下承诺：</w:t>
      </w:r>
    </w:p>
    <w:p w14:paraId="7B782B88">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1、我方已明确本项目采用总价报价，我方的响应报价，在合同执行过程中保持不变，不以任何理由向采购人要求增加费用。</w:t>
      </w:r>
    </w:p>
    <w:p w14:paraId="4C2AF4D8">
      <w:pPr>
        <w:adjustRightInd w:val="0"/>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lang w:bidi="ar"/>
        </w:rPr>
        <w:t>2、我方符合《中华人民共和国政府采购法》第二十二条规定的条件。</w:t>
      </w:r>
    </w:p>
    <w:p w14:paraId="26FFE6CD">
      <w:pPr>
        <w:adjustRightInd w:val="0"/>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lang w:bidi="ar"/>
        </w:rPr>
        <w:t>3、我方无“单位负责人为同一人或者存在直接控股、管理关系的不同单位，参加同一合同项下的采购活动。”情形。</w:t>
      </w:r>
    </w:p>
    <w:p w14:paraId="42460244">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4、截至提交首次响应文件截止时间，我方（不含不具有独立法人资格的分支机构）不存在下列有效情形之一：</w:t>
      </w:r>
    </w:p>
    <w:p w14:paraId="12D1C299">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（1）被人民法院列入失信被执行人名单的；</w:t>
      </w:r>
    </w:p>
    <w:p w14:paraId="14231D89">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（2）被税务机关列入重大税收违法失信主体的；</w:t>
      </w:r>
    </w:p>
    <w:p w14:paraId="2230BBDB">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（3）被财政部门列入政府采购严重违法失信名单的；</w:t>
      </w:r>
    </w:p>
    <w:p w14:paraId="42A3850B">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（4）被市场监督管理部门列入经营异常名录或者严重违法失信企业名单的（未按照《企业信息公示暂行条例》（国务院令第654号）第八条规定的期限公示年度报告被列入经营异常名录的除外）。</w:t>
      </w:r>
    </w:p>
    <w:p w14:paraId="1633D196">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5、我方承诺：未</w:t>
      </w:r>
      <w:r>
        <w:rPr>
          <w:rFonts w:hint="eastAsia" w:ascii="仿宋" w:hAnsi="仿宋" w:eastAsia="仿宋" w:cs="仿宋"/>
          <w:color w:val="auto"/>
          <w:kern w:val="0"/>
          <w:sz w:val="24"/>
          <w:lang w:bidi="ar"/>
        </w:rPr>
        <w:t>为本项目提供整体设计、规范编制或者项目管理、监理、检测等服务。</w:t>
      </w:r>
    </w:p>
    <w:p w14:paraId="5CFC321F">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6、我方已仔细阅读采购文件所有内容，并对竞争性磋商文件所有条款均无异议。</w:t>
      </w:r>
    </w:p>
    <w:p w14:paraId="521BA5CE">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若上述承诺任何一条不能兑现，采购人有权取消我方成交资格。</w:t>
      </w:r>
    </w:p>
    <w:p w14:paraId="09B4A1D0">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bidi="ar"/>
        </w:rPr>
        <w:t>特此承诺</w:t>
      </w:r>
    </w:p>
    <w:p w14:paraId="71B05119">
      <w:pPr>
        <w:tabs>
          <w:tab w:val="left" w:pos="2035"/>
          <w:tab w:val="left" w:pos="2875"/>
          <w:tab w:val="left" w:pos="6420"/>
        </w:tabs>
        <w:adjustRightInd w:val="0"/>
        <w:snapToGrid w:val="0"/>
        <w:spacing w:before="159" w:line="360" w:lineRule="auto"/>
        <w:ind w:left="113" w:right="17"/>
        <w:jc w:val="right"/>
        <w:rPr>
          <w:rFonts w:hint="eastAsia" w:ascii="仿宋" w:hAnsi="仿宋" w:eastAsia="仿宋" w:cs="仿宋"/>
          <w:color w:val="auto"/>
          <w:sz w:val="24"/>
        </w:rPr>
      </w:pPr>
      <w:r>
        <w:rPr>
          <w:rFonts w:hint="eastAsia" w:ascii="仿宋" w:hAnsi="仿宋" w:eastAsia="仿宋" w:cs="仿宋"/>
          <w:color w:val="auto"/>
          <w:sz w:val="24"/>
          <w:lang w:bidi="ar"/>
        </w:rPr>
        <w:t>供应商：</w:t>
      </w:r>
      <w:r>
        <w:rPr>
          <w:rFonts w:hint="eastAsia" w:ascii="仿宋" w:hAnsi="仿宋" w:eastAsia="仿宋" w:cs="仿宋"/>
          <w:color w:val="auto"/>
          <w:sz w:val="24"/>
          <w:u w:val="single"/>
          <w:lang w:bidi="ar"/>
        </w:rPr>
        <w:tab/>
      </w:r>
      <w:r>
        <w:rPr>
          <w:rFonts w:hint="eastAsia" w:ascii="仿宋" w:hAnsi="仿宋" w:eastAsia="仿宋" w:cs="仿宋"/>
          <w:color w:val="auto"/>
          <w:sz w:val="24"/>
          <w:u w:val="single"/>
          <w:lang w:bidi="ar"/>
        </w:rPr>
        <w:t>名称</w:t>
      </w:r>
      <w:r>
        <w:rPr>
          <w:rFonts w:hint="eastAsia" w:ascii="仿宋" w:hAnsi="仿宋" w:eastAsia="仿宋" w:cs="仿宋"/>
          <w:color w:val="auto"/>
          <w:sz w:val="24"/>
          <w:u w:val="single"/>
          <w:lang w:bidi="ar"/>
        </w:rPr>
        <w:tab/>
      </w:r>
      <w:r>
        <w:rPr>
          <w:rFonts w:hint="eastAsia" w:ascii="仿宋" w:hAnsi="仿宋" w:eastAsia="仿宋" w:cs="仿宋"/>
          <w:color w:val="auto"/>
          <w:sz w:val="24"/>
          <w:u w:val="single"/>
          <w:lang w:bidi="ar"/>
        </w:rPr>
        <w:t xml:space="preserve">（盖章） </w:t>
      </w:r>
    </w:p>
    <w:p w14:paraId="14241030">
      <w:pPr>
        <w:pStyle w:val="21"/>
        <w:ind w:firstLine="2879"/>
        <w:jc w:val="right"/>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pacing w:val="42"/>
          <w:sz w:val="24"/>
          <w:szCs w:val="24"/>
          <w:u w:val="single"/>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468DCEB0">
      <w:pPr>
        <w:rPr>
          <w:rFonts w:hint="eastAsia" w:ascii="宋体" w:hAnsi="宋体" w:cs="宋体"/>
          <w:color w:val="auto"/>
          <w:lang w:bidi="en-US"/>
        </w:rPr>
      </w:pPr>
    </w:p>
    <w:p w14:paraId="493F1A31">
      <w:pPr>
        <w:rPr>
          <w:rFonts w:hint="eastAsia" w:ascii="宋体" w:hAnsi="宋体" w:cs="宋体"/>
          <w:color w:val="auto"/>
          <w:lang w:bidi="en-US"/>
        </w:rPr>
      </w:pPr>
    </w:p>
    <w:p w14:paraId="14DCA4FE">
      <w:pPr>
        <w:rPr>
          <w:rFonts w:hint="eastAsia" w:ascii="宋体" w:hAnsi="宋体" w:cs="宋体"/>
          <w:color w:val="auto"/>
          <w:lang w:bidi="en-US"/>
        </w:rPr>
        <w:sectPr>
          <w:footnotePr>
            <w:numFmt w:val="decimalEnclosedCircleChinese"/>
            <w:numRestart w:val="eachPage"/>
          </w:footnotePr>
          <w:pgSz w:w="11906" w:h="16838"/>
          <w:pgMar w:top="1135" w:right="1135" w:bottom="1135" w:left="1135" w:header="851" w:footer="851" w:gutter="0"/>
          <w:cols w:space="720" w:num="1"/>
          <w:docGrid w:type="lines" w:linePitch="312" w:charSpace="0"/>
        </w:sectPr>
      </w:pPr>
    </w:p>
    <w:bookmarkEnd w:id="571"/>
    <w:bookmarkEnd w:id="572"/>
    <w:bookmarkEnd w:id="577"/>
    <w:p w14:paraId="6FB259EB">
      <w:pPr>
        <w:keepNext/>
        <w:keepLines/>
        <w:widowControl/>
        <w:spacing w:before="120" w:after="120" w:line="360" w:lineRule="auto"/>
        <w:jc w:val="center"/>
        <w:outlineLvl w:val="1"/>
        <w:rPr>
          <w:rFonts w:hint="eastAsia" w:ascii="仿宋" w:hAnsi="仿宋" w:eastAsia="仿宋" w:cs="仿宋"/>
          <w:b/>
          <w:color w:val="auto"/>
          <w:sz w:val="32"/>
          <w:szCs w:val="32"/>
        </w:rPr>
      </w:pPr>
      <w:bookmarkStart w:id="578" w:name="_Toc72431439"/>
      <w:bookmarkStart w:id="579" w:name="_Toc72431763"/>
      <w:r>
        <w:rPr>
          <w:rFonts w:hint="eastAsia" w:ascii="仿宋" w:hAnsi="仿宋" w:eastAsia="仿宋" w:cs="仿宋"/>
          <w:b/>
          <w:color w:val="auto"/>
          <w:sz w:val="32"/>
          <w:szCs w:val="32"/>
          <w:lang w:bidi="ar"/>
        </w:rPr>
        <w:t>七、涉及初步评审的相关证明资料</w:t>
      </w:r>
      <w:bookmarkEnd w:id="578"/>
      <w:bookmarkEnd w:id="579"/>
    </w:p>
    <w:p w14:paraId="28308EAC">
      <w:pPr>
        <w:tabs>
          <w:tab w:val="left" w:pos="5347"/>
          <w:tab w:val="left" w:pos="8501"/>
        </w:tabs>
        <w:adjustRightInd w:val="0"/>
        <w:snapToGrid w:val="0"/>
        <w:spacing w:line="360" w:lineRule="auto"/>
        <w:ind w:left="115" w:right="106" w:firstLine="480"/>
        <w:jc w:val="center"/>
        <w:rPr>
          <w:rFonts w:hint="eastAsia" w:ascii="仿宋" w:hAnsi="仿宋" w:eastAsia="仿宋" w:cs="仿宋"/>
          <w:color w:val="auto"/>
          <w:spacing w:val="2"/>
          <w:sz w:val="24"/>
        </w:rPr>
      </w:pPr>
      <w:bookmarkStart w:id="580" w:name="_Toc72431440"/>
      <w:bookmarkStart w:id="581" w:name="_Toc72431764"/>
      <w:r>
        <w:rPr>
          <w:rFonts w:hint="eastAsia" w:ascii="仿宋" w:hAnsi="仿宋" w:eastAsia="仿宋" w:cs="仿宋"/>
          <w:color w:val="auto"/>
          <w:spacing w:val="2"/>
          <w:sz w:val="24"/>
          <w:lang w:bidi="ar"/>
        </w:rPr>
        <w:t>7.1营业执照（法人或其他组织的营业执照、事业单位法人证书等证明文件）</w:t>
      </w:r>
    </w:p>
    <w:p w14:paraId="69DE3187">
      <w:pPr>
        <w:rPr>
          <w:rFonts w:hint="eastAsia" w:ascii="仿宋" w:hAnsi="仿宋" w:eastAsia="仿宋" w:cs="仿宋"/>
          <w:color w:val="auto"/>
          <w:kern w:val="0"/>
        </w:rPr>
      </w:pPr>
      <w:r>
        <w:rPr>
          <w:rFonts w:hint="eastAsia" w:ascii="仿宋" w:hAnsi="仿宋" w:eastAsia="仿宋" w:cs="仿宋"/>
          <w:color w:val="auto"/>
          <w:kern w:val="0"/>
          <w:lang w:bidi="ar"/>
        </w:rPr>
        <mc:AlternateContent>
          <mc:Choice Requires="wps">
            <w:drawing>
              <wp:inline distT="0" distB="0" distL="114300" distR="114300">
                <wp:extent cx="5847715" cy="2248535"/>
                <wp:effectExtent l="4445" t="4445" r="15240" b="13970"/>
                <wp:docPr id="2" name="矩形 2"/>
                <wp:cNvGraphicFramePr/>
                <a:graphic xmlns:a="http://schemas.openxmlformats.org/drawingml/2006/main">
                  <a:graphicData uri="http://schemas.microsoft.com/office/word/2010/wordprocessingShape">
                    <wps:wsp>
                      <wps:cNvSpPr/>
                      <wps:spPr>
                        <a:xfrm>
                          <a:off x="0" y="0"/>
                          <a:ext cx="5847715" cy="224853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8BF3DA2"/>
                        </w:txbxContent>
                      </wps:txbx>
                      <wps:bodyPr wrap="square" upright="1"/>
                    </wps:wsp>
                  </a:graphicData>
                </a:graphic>
              </wp:inline>
            </w:drawing>
          </mc:Choice>
          <mc:Fallback>
            <w:pict>
              <v:rect id="_x0000_s1026" o:spid="_x0000_s1026" o:spt="1" style="height:177.05pt;width:460.45pt;" fillcolor="#FFFFFF" filled="t" stroked="t" coordsize="21600,21600" o:gfxdata="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QS5rPWAAAABQEAAA8AAAAAAAAA&#10;AQAgAAAAIgAAAGRycy9kb3ducmV2LnhtbFBLAQIUABQAAAAIAIdO4kBNjCjUTAIAAM0EAAAOAAAA&#10;AAAAAAEAIAAAACUBAABkcnMvZTJvRG9jLnhtbFBLBQYAAAAABgAGAFkBAADjBQAAAAA=&#10;">
                <v:fill type="gradient" on="t" color2="#FFFFFF" angle="90" focus="100%" focussize="0,0">
                  <o:fill type="gradientUnscaled" v:ext="backwardCompatible"/>
                </v:fill>
                <v:stroke weight="0.5pt" color="#000000" joinstyle="miter"/>
                <v:imagedata o:title=""/>
                <o:lock v:ext="edit" aspectratio="f"/>
                <v:textbox>
                  <w:txbxContent>
                    <w:p w14:paraId="78BF3DA2"/>
                  </w:txbxContent>
                </v:textbox>
                <w10:wrap type="none"/>
                <w10:anchorlock/>
              </v:rect>
            </w:pict>
          </mc:Fallback>
        </mc:AlternateContent>
      </w:r>
    </w:p>
    <w:p w14:paraId="0C1EE81B">
      <w:pPr>
        <w:tabs>
          <w:tab w:val="left" w:pos="5347"/>
          <w:tab w:val="left" w:pos="8501"/>
        </w:tabs>
        <w:adjustRightInd w:val="0"/>
        <w:snapToGrid w:val="0"/>
        <w:spacing w:line="360" w:lineRule="auto"/>
        <w:ind w:left="115" w:right="106" w:firstLine="480"/>
        <w:jc w:val="center"/>
        <w:rPr>
          <w:rFonts w:hint="eastAsia" w:ascii="仿宋" w:hAnsi="仿宋" w:eastAsia="仿宋" w:cs="仿宋"/>
          <w:color w:val="auto"/>
          <w:spacing w:val="2"/>
          <w:sz w:val="24"/>
        </w:rPr>
      </w:pPr>
      <w:r>
        <w:rPr>
          <w:rFonts w:hint="eastAsia" w:ascii="仿宋" w:hAnsi="仿宋" w:eastAsia="仿宋" w:cs="仿宋"/>
          <w:color w:val="auto"/>
          <w:spacing w:val="2"/>
          <w:sz w:val="24"/>
          <w:lang w:bidi="ar"/>
        </w:rPr>
        <w:t>7.2其他涉及初步评审的证明材料</w:t>
      </w:r>
    </w:p>
    <w:p w14:paraId="18BB020B">
      <w:pPr>
        <w:pStyle w:val="23"/>
        <w:widowControl/>
        <w:rPr>
          <w:rFonts w:hint="eastAsia" w:ascii="仿宋" w:hAnsi="仿宋" w:eastAsia="仿宋" w:cs="仿宋"/>
          <w:color w:val="auto"/>
        </w:rPr>
      </w:pPr>
      <w:r>
        <w:rPr>
          <w:rFonts w:hint="eastAsia" w:ascii="仿宋" w:hAnsi="仿宋" w:eastAsia="仿宋" w:cs="仿宋"/>
          <w:color w:val="auto"/>
          <w:kern w:val="0"/>
        </w:rPr>
        <mc:AlternateContent>
          <mc:Choice Requires="wps">
            <w:drawing>
              <wp:inline distT="0" distB="0" distL="114300" distR="114300">
                <wp:extent cx="5847715" cy="2248535"/>
                <wp:effectExtent l="4445" t="4445" r="15240" b="13970"/>
                <wp:docPr id="4" name="矩形 4"/>
                <wp:cNvGraphicFramePr/>
                <a:graphic xmlns:a="http://schemas.openxmlformats.org/drawingml/2006/main">
                  <a:graphicData uri="http://schemas.microsoft.com/office/word/2010/wordprocessingShape">
                    <wps:wsp>
                      <wps:cNvSpPr/>
                      <wps:spPr>
                        <a:xfrm>
                          <a:off x="0" y="0"/>
                          <a:ext cx="5847715" cy="224853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D5728AA"/>
                        </w:txbxContent>
                      </wps:txbx>
                      <wps:bodyPr wrap="square" upright="1"/>
                    </wps:wsp>
                  </a:graphicData>
                </a:graphic>
              </wp:inline>
            </w:drawing>
          </mc:Choice>
          <mc:Fallback>
            <w:pict>
              <v:rect id="_x0000_s1026" o:spid="_x0000_s1026" o:spt="1" style="height:177.05pt;width:460.45pt;" fillcolor="#FFFFFF" filled="t" stroked="t" coordsize="21600,21600" o:gfxdata="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QS5rPWAAAABQEAAA8AAAAAAAAA&#10;AQAgAAAAIgAAAGRycy9kb3ducmV2LnhtbFBLAQIUABQAAAAIAIdO4kC9/3NDTAIAAM0EAAAOAAAA&#10;AAAAAAEAIAAAACUBAABkcnMvZTJvRG9jLnhtbFBLBQYAAAAABgAGAFkBAADjBQAAAAA=&#10;">
                <v:fill type="gradient" on="t" color2="#FFFFFF" angle="90" focus="100%" focussize="0,0">
                  <o:fill type="gradientUnscaled" v:ext="backwardCompatible"/>
                </v:fill>
                <v:stroke weight="0.5pt" color="#000000" joinstyle="miter"/>
                <v:imagedata o:title=""/>
                <o:lock v:ext="edit" aspectratio="f"/>
                <v:textbox>
                  <w:txbxContent>
                    <w:p w14:paraId="7D5728AA"/>
                  </w:txbxContent>
                </v:textbox>
                <w10:wrap type="none"/>
                <w10:anchorlock/>
              </v:rect>
            </w:pict>
          </mc:Fallback>
        </mc:AlternateContent>
      </w:r>
    </w:p>
    <w:p w14:paraId="594A163E">
      <w:pPr>
        <w:rPr>
          <w:rFonts w:hint="eastAsia" w:ascii="仿宋" w:hAnsi="仿宋" w:eastAsia="仿宋" w:cs="仿宋"/>
          <w:color w:val="auto"/>
        </w:rPr>
      </w:pPr>
    </w:p>
    <w:p w14:paraId="0A4435D9">
      <w:pPr>
        <w:keepNext/>
        <w:keepLines/>
        <w:widowControl/>
        <w:spacing w:before="120" w:after="120" w:line="360" w:lineRule="auto"/>
        <w:jc w:val="center"/>
        <w:outlineLvl w:val="1"/>
        <w:rPr>
          <w:rFonts w:hint="eastAsia" w:ascii="仿宋" w:hAnsi="仿宋" w:eastAsia="仿宋" w:cs="仿宋"/>
          <w:b/>
          <w:color w:val="auto"/>
          <w:sz w:val="32"/>
          <w:szCs w:val="32"/>
        </w:rPr>
      </w:pPr>
      <w:r>
        <w:rPr>
          <w:rFonts w:hint="eastAsia" w:ascii="宋体" w:hAnsi="宋体" w:cs="宋体"/>
          <w:b/>
          <w:color w:val="auto"/>
          <w:sz w:val="32"/>
          <w:szCs w:val="32"/>
          <w:lang w:bidi="ar"/>
        </w:rPr>
        <w:br w:type="page"/>
      </w:r>
      <w:r>
        <w:rPr>
          <w:rFonts w:hint="eastAsia" w:ascii="仿宋" w:hAnsi="仿宋" w:eastAsia="仿宋" w:cs="仿宋"/>
          <w:b/>
          <w:color w:val="auto"/>
          <w:sz w:val="32"/>
          <w:szCs w:val="32"/>
          <w:lang w:bidi="ar"/>
        </w:rPr>
        <w:t>八、涉及详细评审的相关证明资料</w:t>
      </w:r>
      <w:bookmarkEnd w:id="580"/>
      <w:bookmarkEnd w:id="581"/>
    </w:p>
    <w:p w14:paraId="75D279D4">
      <w:pPr>
        <w:keepNext/>
        <w:keepLines/>
        <w:widowControl/>
        <w:spacing w:before="120" w:after="120" w:line="360" w:lineRule="auto"/>
        <w:jc w:val="center"/>
        <w:outlineLvl w:val="1"/>
        <w:rPr>
          <w:rFonts w:hint="eastAsia" w:ascii="仿宋" w:hAnsi="仿宋" w:eastAsia="仿宋" w:cs="仿宋"/>
          <w:b/>
          <w:color w:val="auto"/>
          <w:kern w:val="0"/>
          <w:sz w:val="32"/>
          <w:szCs w:val="20"/>
        </w:rPr>
      </w:pPr>
      <w:r>
        <w:rPr>
          <w:rFonts w:hint="eastAsia" w:ascii="仿宋" w:hAnsi="仿宋" w:eastAsia="仿宋" w:cs="仿宋"/>
          <w:b/>
          <w:color w:val="auto"/>
          <w:sz w:val="32"/>
          <w:szCs w:val="20"/>
          <w:lang w:bidi="ar"/>
        </w:rPr>
        <w:br w:type="page"/>
      </w:r>
      <w:bookmarkStart w:id="582" w:name="_Toc72431441"/>
      <w:bookmarkStart w:id="583" w:name="_Toc72431765"/>
      <w:r>
        <w:rPr>
          <w:rFonts w:hint="eastAsia" w:ascii="仿宋" w:hAnsi="仿宋" w:eastAsia="仿宋" w:cs="仿宋"/>
          <w:b/>
          <w:color w:val="auto"/>
          <w:kern w:val="0"/>
          <w:sz w:val="32"/>
          <w:szCs w:val="20"/>
          <w:lang w:bidi="ar"/>
        </w:rPr>
        <w:t>九、供应商认为应提供的其他资料</w:t>
      </w:r>
      <w:bookmarkEnd w:id="582"/>
      <w:bookmarkEnd w:id="583"/>
    </w:p>
    <w:p w14:paraId="2698BC78">
      <w:pPr>
        <w:widowControl/>
        <w:snapToGrid w:val="0"/>
        <w:spacing w:line="360" w:lineRule="auto"/>
        <w:jc w:val="left"/>
        <w:rPr>
          <w:rFonts w:hint="eastAsia" w:ascii="宋体" w:hAnsi="宋体" w:cs="宋体"/>
          <w:color w:val="auto"/>
          <w:szCs w:val="28"/>
        </w:rPr>
      </w:pPr>
    </w:p>
    <w:p w14:paraId="4C830436">
      <w:pPr>
        <w:rPr>
          <w:color w:val="auto"/>
        </w:rPr>
      </w:pPr>
    </w:p>
    <w:p w14:paraId="5945636F">
      <w:pPr>
        <w:rPr>
          <w:color w:val="auto"/>
        </w:rPr>
      </w:pPr>
    </w:p>
    <w:p w14:paraId="56046EAB">
      <w:pPr>
        <w:rPr>
          <w:color w:val="auto"/>
        </w:rPr>
      </w:pPr>
    </w:p>
    <w:sectPr>
      <w:footnotePr>
        <w:numFmt w:val="decimalEnclosedCircleChinese"/>
        <w:numRestart w:val="eachPage"/>
      </w:footnotePr>
      <w:pgSz w:w="11906" w:h="16838"/>
      <w:pgMar w:top="1135" w:right="1135" w:bottom="1135" w:left="1135"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CFD3FF-7FF2-4054-A7BB-10A66F577D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3E00DCB-65D9-4129-8092-AF31E29B78DF}"/>
  </w:font>
  <w:font w:name="华文细黑">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embedRegular r:id="rId3" w:fontKey="{2132C491-BA7E-4C82-ADF9-55D16F0DA749}"/>
  </w:font>
  <w:font w:name="楷体">
    <w:panose1 w:val="02010609060101010101"/>
    <w:charset w:val="86"/>
    <w:family w:val="modern"/>
    <w:pitch w:val="default"/>
    <w:sig w:usb0="800002BF" w:usb1="38CF7CFA" w:usb2="00000016" w:usb3="00000000" w:csb0="00040001" w:csb1="00000000"/>
    <w:embedRegular r:id="rId4" w:fontKey="{DFA5DD65-9B89-4ECF-9399-1B78D53802D1}"/>
  </w:font>
  <w:font w:name="Arial">
    <w:panose1 w:val="020B0604020202020204"/>
    <w:charset w:val="00"/>
    <w:family w:val="swiss"/>
    <w:pitch w:val="default"/>
    <w:sig w:usb0="E0002EFF" w:usb1="C000785B" w:usb2="00000009" w:usb3="00000000" w:csb0="400001FF" w:csb1="FFFF0000"/>
    <w:embedRegular r:id="rId5" w:fontKey="{A0A9C62E-F0F1-4CAE-A167-9FC4448EA494}"/>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7FFAEFF" w:usb1="F9DFFFFF" w:usb2="0000007F" w:usb3="00000000" w:csb0="203F01FF" w:csb1="DFFF0000"/>
  </w:font>
  <w:font w:name="PMingLiU">
    <w:altName w:val="Microsoft JhengHei UI"/>
    <w:panose1 w:val="02010601000101010101"/>
    <w:charset w:val="88"/>
    <w:family w:val="roman"/>
    <w:pitch w:val="default"/>
    <w:sig w:usb0="00000000" w:usb1="00000000" w:usb2="00000016" w:usb3="00000000" w:csb0="00100001" w:csb1="00000000"/>
    <w:embedRegular r:id="rId6" w:fontKey="{49FE80CE-A3B5-4FA2-ADA2-2CE6C21E0275}"/>
  </w:font>
  <w:font w:name="方正书宋简体">
    <w:altName w:val="宋体"/>
    <w:panose1 w:val="00000000000000000000"/>
    <w:charset w:val="86"/>
    <w:family w:val="auto"/>
    <w:pitch w:val="default"/>
    <w:sig w:usb0="00000000" w:usb1="00000000" w:usb2="00000012" w:usb3="00000000" w:csb0="00040001" w:csb1="00000000"/>
    <w:embedRegular r:id="rId7" w:fontKey="{BBE57F0B-4A38-4C41-8433-50133B1C2626}"/>
  </w:font>
  <w:font w:name="仿宋">
    <w:panose1 w:val="02010609060101010101"/>
    <w:charset w:val="86"/>
    <w:family w:val="modern"/>
    <w:pitch w:val="default"/>
    <w:sig w:usb0="800002BF" w:usb1="38CF7CFA" w:usb2="00000016" w:usb3="00000000" w:csb0="00040001" w:csb1="00000000"/>
    <w:embedRegular r:id="rId8" w:fontKey="{1395F201-0EC6-4BFC-94ED-D89CD316B481}"/>
  </w:font>
  <w:font w:name="Cambria">
    <w:panose1 w:val="02040503050406030204"/>
    <w:charset w:val="00"/>
    <w:family w:val="roman"/>
    <w:pitch w:val="default"/>
    <w:sig w:usb0="E00006FF" w:usb1="420024FF" w:usb2="02000000" w:usb3="00000000" w:csb0="2000019F" w:csb1="00000000"/>
    <w:embedRegular r:id="rId9" w:fontKey="{B1B605F1-2A81-4B06-BF26-48931FC97262}"/>
  </w:font>
  <w:font w:name="方正小标宋简体">
    <w:panose1 w:val="02010600010101010101"/>
    <w:charset w:val="86"/>
    <w:family w:val="script"/>
    <w:pitch w:val="default"/>
    <w:sig w:usb0="00000001" w:usb1="080E0000" w:usb2="00000000" w:usb3="00000000" w:csb0="00040000" w:csb1="00000000"/>
    <w:embedRegular r:id="rId10" w:fontKey="{F59769F4-AADB-4800-BD08-694034A55036}"/>
  </w:font>
  <w:font w:name="Wingdings 2">
    <w:panose1 w:val="05020102010507070707"/>
    <w:charset w:val="02"/>
    <w:family w:val="roman"/>
    <w:pitch w:val="default"/>
    <w:sig w:usb0="00000000" w:usb1="00000000" w:usb2="00000000" w:usb3="00000000" w:csb0="80000000" w:csb1="00000000"/>
    <w:embedRegular r:id="rId11" w:fontKey="{58D83C9A-09A2-4180-9513-81CE66178A48}"/>
  </w:font>
  <w:font w:name="Tahoma">
    <w:panose1 w:val="020B0604030504040204"/>
    <w:charset w:val="00"/>
    <w:family w:val="swiss"/>
    <w:pitch w:val="default"/>
    <w:sig w:usb0="E1002EFF" w:usb1="C000605B" w:usb2="00000029" w:usb3="00000000" w:csb0="200101FF" w:csb1="20280000"/>
    <w:embedRegular r:id="rId12" w:fontKey="{38B8E8FA-8693-4812-B03F-EA9F1C455E2A}"/>
  </w:font>
  <w:font w:name="Cambria Math">
    <w:panose1 w:val="02040503050406030204"/>
    <w:charset w:val="00"/>
    <w:family w:val="roman"/>
    <w:pitch w:val="default"/>
    <w:sig w:usb0="E00006FF" w:usb1="420024FF" w:usb2="02000000" w:usb3="00000000" w:csb0="2000019F" w:csb1="00000000"/>
    <w:embedRegular r:id="rId13" w:fontKey="{7BA96C74-0DC5-4960-992E-3F18D65C527B}"/>
  </w:font>
  <w:font w:name="&amp;quot">
    <w:altName w:val="Times New Roman"/>
    <w:panose1 w:val="00000000000000000000"/>
    <w:charset w:val="00"/>
    <w:family w:val="roman"/>
    <w:pitch w:val="default"/>
    <w:sig w:usb0="00000000" w:usb1="00000000" w:usb2="00000000" w:usb3="00000000" w:csb0="000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4E09">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EC83E1">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0EC83E1">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6DA1">
    <w:pPr>
      <w:pStyle w:val="10"/>
      <w:jc w:val="cente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15</w:t>
    </w:r>
    <w:r>
      <w:rPr>
        <w:rFonts w:ascii="宋体" w:hAnsi="宋体"/>
        <w:sz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95220"/>
    <w:multiLevelType w:val="singleLevel"/>
    <w:tmpl w:val="AA295220"/>
    <w:lvl w:ilvl="0" w:tentative="0">
      <w:start w:val="3"/>
      <w:numFmt w:val="chineseCounting"/>
      <w:suff w:val="space"/>
      <w:lvlText w:val="第%1章"/>
      <w:lvlJc w:val="left"/>
      <w:rPr>
        <w:rFonts w:hint="eastAsia"/>
      </w:rPr>
    </w:lvl>
  </w:abstractNum>
  <w:abstractNum w:abstractNumId="1">
    <w:nsid w:val="471F0CF9"/>
    <w:multiLevelType w:val="multilevel"/>
    <w:tmpl w:val="471F0CF9"/>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956902"/>
    <w:multiLevelType w:val="multilevel"/>
    <w:tmpl w:val="6495690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475E12"/>
    <w:rsid w:val="00063854"/>
    <w:rsid w:val="00075B0E"/>
    <w:rsid w:val="00100C79"/>
    <w:rsid w:val="0015527B"/>
    <w:rsid w:val="0016773B"/>
    <w:rsid w:val="00227215"/>
    <w:rsid w:val="002778EE"/>
    <w:rsid w:val="00286EAF"/>
    <w:rsid w:val="003B01A9"/>
    <w:rsid w:val="003D3F8C"/>
    <w:rsid w:val="003F59B2"/>
    <w:rsid w:val="004E012F"/>
    <w:rsid w:val="005A615F"/>
    <w:rsid w:val="005D6BAF"/>
    <w:rsid w:val="005E1300"/>
    <w:rsid w:val="00721A93"/>
    <w:rsid w:val="00772764"/>
    <w:rsid w:val="007D651D"/>
    <w:rsid w:val="008C0B15"/>
    <w:rsid w:val="009301BB"/>
    <w:rsid w:val="0095210D"/>
    <w:rsid w:val="009947D7"/>
    <w:rsid w:val="00AA5BBF"/>
    <w:rsid w:val="00AB5D57"/>
    <w:rsid w:val="00B338C4"/>
    <w:rsid w:val="00B769FD"/>
    <w:rsid w:val="00B92728"/>
    <w:rsid w:val="00B94591"/>
    <w:rsid w:val="00C301E7"/>
    <w:rsid w:val="00C458BE"/>
    <w:rsid w:val="00CD4C69"/>
    <w:rsid w:val="00CF6ABE"/>
    <w:rsid w:val="00D074CA"/>
    <w:rsid w:val="00D76F1D"/>
    <w:rsid w:val="00DB1CBA"/>
    <w:rsid w:val="00E3753F"/>
    <w:rsid w:val="00E651A4"/>
    <w:rsid w:val="00EB3D97"/>
    <w:rsid w:val="00EB5F2B"/>
    <w:rsid w:val="00EF2177"/>
    <w:rsid w:val="00F7088D"/>
    <w:rsid w:val="00F96FE4"/>
    <w:rsid w:val="00FF1B10"/>
    <w:rsid w:val="04BC223F"/>
    <w:rsid w:val="061B11E8"/>
    <w:rsid w:val="073D0CEA"/>
    <w:rsid w:val="078E1545"/>
    <w:rsid w:val="092C1016"/>
    <w:rsid w:val="0A5151D8"/>
    <w:rsid w:val="0C8E2713"/>
    <w:rsid w:val="0CF62067"/>
    <w:rsid w:val="0D483858"/>
    <w:rsid w:val="0E016F15"/>
    <w:rsid w:val="0E9C09EC"/>
    <w:rsid w:val="0EA004DC"/>
    <w:rsid w:val="0F3F5F47"/>
    <w:rsid w:val="10611EED"/>
    <w:rsid w:val="10BE733F"/>
    <w:rsid w:val="10DE709A"/>
    <w:rsid w:val="11D878BD"/>
    <w:rsid w:val="122D02D9"/>
    <w:rsid w:val="127557DC"/>
    <w:rsid w:val="13516249"/>
    <w:rsid w:val="138008DC"/>
    <w:rsid w:val="13C965BB"/>
    <w:rsid w:val="14ED3837"/>
    <w:rsid w:val="150177FB"/>
    <w:rsid w:val="172A4DE7"/>
    <w:rsid w:val="176127D3"/>
    <w:rsid w:val="187C78C4"/>
    <w:rsid w:val="1912647A"/>
    <w:rsid w:val="194A5C14"/>
    <w:rsid w:val="1A051B3B"/>
    <w:rsid w:val="1A772A39"/>
    <w:rsid w:val="1ADF238C"/>
    <w:rsid w:val="1B356450"/>
    <w:rsid w:val="1BD73063"/>
    <w:rsid w:val="1C610BFB"/>
    <w:rsid w:val="1CC161ED"/>
    <w:rsid w:val="1E28404A"/>
    <w:rsid w:val="1E674B72"/>
    <w:rsid w:val="1F0D396C"/>
    <w:rsid w:val="1F242A63"/>
    <w:rsid w:val="1FCF6E73"/>
    <w:rsid w:val="20166850"/>
    <w:rsid w:val="20427645"/>
    <w:rsid w:val="20C75311"/>
    <w:rsid w:val="21CA5B44"/>
    <w:rsid w:val="21DE0DD2"/>
    <w:rsid w:val="22822121"/>
    <w:rsid w:val="2298179E"/>
    <w:rsid w:val="229B4DEB"/>
    <w:rsid w:val="2369313B"/>
    <w:rsid w:val="23EF77BA"/>
    <w:rsid w:val="24253506"/>
    <w:rsid w:val="24431BDE"/>
    <w:rsid w:val="2483022C"/>
    <w:rsid w:val="24A87C93"/>
    <w:rsid w:val="24AF4B7D"/>
    <w:rsid w:val="24CC3981"/>
    <w:rsid w:val="26217CFD"/>
    <w:rsid w:val="27A04C51"/>
    <w:rsid w:val="27A60B92"/>
    <w:rsid w:val="27B01338"/>
    <w:rsid w:val="27BF77CD"/>
    <w:rsid w:val="27E10412"/>
    <w:rsid w:val="289F792E"/>
    <w:rsid w:val="28F25980"/>
    <w:rsid w:val="293549C5"/>
    <w:rsid w:val="29C27101"/>
    <w:rsid w:val="2A306760"/>
    <w:rsid w:val="2B593A95"/>
    <w:rsid w:val="2B6C37C8"/>
    <w:rsid w:val="2B822FEC"/>
    <w:rsid w:val="2C1A76C8"/>
    <w:rsid w:val="2C8C39F6"/>
    <w:rsid w:val="2CD930DF"/>
    <w:rsid w:val="2CFE66A2"/>
    <w:rsid w:val="2D55028C"/>
    <w:rsid w:val="2D8C0151"/>
    <w:rsid w:val="2DEC299E"/>
    <w:rsid w:val="2FC71915"/>
    <w:rsid w:val="30B05F05"/>
    <w:rsid w:val="312468F3"/>
    <w:rsid w:val="32B1065A"/>
    <w:rsid w:val="32C33FF8"/>
    <w:rsid w:val="33105381"/>
    <w:rsid w:val="34475E12"/>
    <w:rsid w:val="362D7FF8"/>
    <w:rsid w:val="36E06005"/>
    <w:rsid w:val="387939C8"/>
    <w:rsid w:val="3CFC0724"/>
    <w:rsid w:val="3E1A5306"/>
    <w:rsid w:val="3E6F38A3"/>
    <w:rsid w:val="3E9A01F4"/>
    <w:rsid w:val="3F19380F"/>
    <w:rsid w:val="41C31810"/>
    <w:rsid w:val="41C37A62"/>
    <w:rsid w:val="4250579A"/>
    <w:rsid w:val="44446C38"/>
    <w:rsid w:val="46780E1B"/>
    <w:rsid w:val="47867568"/>
    <w:rsid w:val="49A563CB"/>
    <w:rsid w:val="4A0B1FA6"/>
    <w:rsid w:val="4AAA5C63"/>
    <w:rsid w:val="4B771FE9"/>
    <w:rsid w:val="4C3C0B3D"/>
    <w:rsid w:val="4CBB4158"/>
    <w:rsid w:val="4CBB5F06"/>
    <w:rsid w:val="4D927084"/>
    <w:rsid w:val="4DF06083"/>
    <w:rsid w:val="4FDC68BF"/>
    <w:rsid w:val="503E4E84"/>
    <w:rsid w:val="50C57353"/>
    <w:rsid w:val="52D03D8D"/>
    <w:rsid w:val="545F186C"/>
    <w:rsid w:val="565151E5"/>
    <w:rsid w:val="567A298E"/>
    <w:rsid w:val="58A40196"/>
    <w:rsid w:val="591F781C"/>
    <w:rsid w:val="59352B9C"/>
    <w:rsid w:val="598801B9"/>
    <w:rsid w:val="5ADC3952"/>
    <w:rsid w:val="5AE623A0"/>
    <w:rsid w:val="5B3A093D"/>
    <w:rsid w:val="5BE81B90"/>
    <w:rsid w:val="5C3F26AF"/>
    <w:rsid w:val="5CDF179C"/>
    <w:rsid w:val="5D916F3A"/>
    <w:rsid w:val="5D995DEF"/>
    <w:rsid w:val="5E3478C6"/>
    <w:rsid w:val="5F105C3D"/>
    <w:rsid w:val="5F1D035A"/>
    <w:rsid w:val="5F3833E6"/>
    <w:rsid w:val="5F950838"/>
    <w:rsid w:val="6045400C"/>
    <w:rsid w:val="60E07891"/>
    <w:rsid w:val="60ED6B9C"/>
    <w:rsid w:val="61D218D0"/>
    <w:rsid w:val="62015D11"/>
    <w:rsid w:val="621023F8"/>
    <w:rsid w:val="62D578C9"/>
    <w:rsid w:val="637F3391"/>
    <w:rsid w:val="65832661"/>
    <w:rsid w:val="65CB4640"/>
    <w:rsid w:val="65D75707"/>
    <w:rsid w:val="672F3320"/>
    <w:rsid w:val="68000819"/>
    <w:rsid w:val="6833299C"/>
    <w:rsid w:val="68A45648"/>
    <w:rsid w:val="6A3053E5"/>
    <w:rsid w:val="6A7C4ACE"/>
    <w:rsid w:val="6B554380"/>
    <w:rsid w:val="6B882FFF"/>
    <w:rsid w:val="6B9419A4"/>
    <w:rsid w:val="6C6B4DFB"/>
    <w:rsid w:val="6CCA7D73"/>
    <w:rsid w:val="6E0666F6"/>
    <w:rsid w:val="6EC16F54"/>
    <w:rsid w:val="6EF94940"/>
    <w:rsid w:val="6F806E0F"/>
    <w:rsid w:val="6F854425"/>
    <w:rsid w:val="6FA06B69"/>
    <w:rsid w:val="6FB865A9"/>
    <w:rsid w:val="71233EF6"/>
    <w:rsid w:val="71A843FB"/>
    <w:rsid w:val="74343D24"/>
    <w:rsid w:val="793D18CD"/>
    <w:rsid w:val="79FA4411"/>
    <w:rsid w:val="7C923759"/>
    <w:rsid w:val="7D2F59D0"/>
    <w:rsid w:val="7E6D4A02"/>
    <w:rsid w:val="7E723DC7"/>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99"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unhideWhenUsed/>
    <w:qFormat/>
    <w:uiPriority w:val="0"/>
    <w:pPr>
      <w:keepNext/>
      <w:keepLines/>
      <w:spacing w:before="260" w:after="260" w:line="415" w:lineRule="auto"/>
      <w:outlineLvl w:val="1"/>
    </w:pPr>
    <w:rPr>
      <w:rFonts w:hint="eastAsia" w:ascii="华文细黑" w:hAnsi="华文细黑"/>
      <w:b/>
      <w:bCs/>
      <w:sz w:val="32"/>
      <w:szCs w:val="32"/>
    </w:rPr>
  </w:style>
  <w:style w:type="paragraph" w:styleId="4">
    <w:name w:val="heading 3"/>
    <w:basedOn w:val="1"/>
    <w:next w:val="1"/>
    <w:unhideWhenUsed/>
    <w:qFormat/>
    <w:uiPriority w:val="0"/>
    <w:pPr>
      <w:keepNext/>
      <w:keepLines/>
      <w:widowControl/>
      <w:snapToGrid w:val="0"/>
      <w:spacing w:line="360" w:lineRule="auto"/>
      <w:jc w:val="left"/>
      <w:outlineLvl w:val="2"/>
    </w:pPr>
    <w:rPr>
      <w:rFonts w:hint="eastAsia" w:ascii="楷体_GB2312" w:hAnsi="楷体_GB2312"/>
      <w:b/>
      <w:bCs/>
      <w:kern w:val="0"/>
      <w:sz w:val="28"/>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1"/>
    <w:qFormat/>
    <w:uiPriority w:val="0"/>
    <w:pPr>
      <w:spacing w:after="120"/>
    </w:pPr>
  </w:style>
  <w:style w:type="paragraph" w:styleId="7">
    <w:name w:val="Body Text Indent"/>
    <w:basedOn w:val="1"/>
    <w:next w:val="8"/>
    <w:qFormat/>
    <w:uiPriority w:val="0"/>
    <w:pPr>
      <w:spacing w:after="120"/>
      <w:ind w:left="420" w:leftChars="200"/>
    </w:pPr>
  </w:style>
  <w:style w:type="paragraph" w:styleId="8">
    <w:name w:val="envelope return"/>
    <w:basedOn w:val="1"/>
    <w:qFormat/>
    <w:uiPriority w:val="99"/>
    <w:pPr>
      <w:snapToGrid w:val="0"/>
    </w:pPr>
    <w:rPr>
      <w:rFonts w:ascii="Arial" w:hAnsi="Arial"/>
    </w:rPr>
  </w:style>
  <w:style w:type="paragraph" w:styleId="9">
    <w:name w:val="Plain Text"/>
    <w:basedOn w:val="1"/>
    <w:qFormat/>
    <w:uiPriority w:val="0"/>
    <w:rPr>
      <w:rFonts w:hint="eastAsia" w:ascii="楷体_GB2312" w:hAnsi="等线 Light" w:eastAsia="楷体_GB2312"/>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0"/>
    <w:pPr>
      <w:spacing w:before="120" w:after="120"/>
      <w:jc w:val="left"/>
    </w:pPr>
    <w:rPr>
      <w:rFonts w:hint="eastAsia" w:ascii="Arial Unicode MS" w:hAnsi="Arial Unicode MS"/>
      <w:b/>
      <w:bCs/>
      <w:caps/>
      <w:sz w:val="20"/>
      <w:szCs w:val="20"/>
    </w:rPr>
  </w:style>
  <w:style w:type="paragraph" w:styleId="12">
    <w:name w:val="footnote text"/>
    <w:basedOn w:val="1"/>
    <w:uiPriority w:val="99"/>
    <w:pPr>
      <w:snapToGrid w:val="0"/>
      <w:jc w:val="left"/>
    </w:pPr>
    <w:rPr>
      <w:sz w:val="18"/>
      <w:szCs w:val="18"/>
    </w:rPr>
  </w:style>
  <w:style w:type="paragraph" w:styleId="13">
    <w:name w:val="Body Text First Indent 2"/>
    <w:basedOn w:val="7"/>
    <w:next w:val="1"/>
    <w:qFormat/>
    <w:uiPriority w:val="0"/>
    <w:pPr>
      <w:ind w:firstLine="420" w:firstLineChars="200"/>
    </w:pPr>
  </w:style>
  <w:style w:type="character" w:styleId="16">
    <w:name w:val="Hyperlink"/>
    <w:basedOn w:val="15"/>
    <w:uiPriority w:val="0"/>
    <w:rPr>
      <w:color w:val="0563C1" w:themeColor="hyperlink"/>
      <w:u w:val="single"/>
      <w14:textFill>
        <w14:solidFill>
          <w14:schemeClr w14:val="hlink"/>
        </w14:solidFill>
      </w14:textFill>
    </w:rPr>
  </w:style>
  <w:style w:type="character" w:styleId="17">
    <w:name w:val="annotation reference"/>
    <w:basedOn w:val="15"/>
    <w:qFormat/>
    <w:uiPriority w:val="0"/>
    <w:rPr>
      <w:sz w:val="21"/>
      <w:szCs w:val="21"/>
    </w:rPr>
  </w:style>
  <w:style w:type="character" w:styleId="18">
    <w:name w:val="footnote reference"/>
    <w:uiPriority w:val="99"/>
    <w:rPr>
      <w:vertAlign w:val="superscript"/>
    </w:rPr>
  </w:style>
  <w:style w:type="character" w:customStyle="1" w:styleId="19">
    <w:name w:val="标题 2 Char Char"/>
    <w:basedOn w:val="15"/>
    <w:qFormat/>
    <w:uiPriority w:val="0"/>
    <w:rPr>
      <w:rFonts w:hint="eastAsia" w:ascii="PMingLiU" w:hAnsi="PMingLiU" w:eastAsia="Calibri" w:cs="方正书宋简体"/>
      <w:b/>
      <w:bCs/>
      <w:kern w:val="2"/>
      <w:sz w:val="32"/>
      <w:szCs w:val="32"/>
      <w:lang w:val="en-US" w:eastAsia="zh-CN" w:bidi="ar"/>
    </w:rPr>
  </w:style>
  <w:style w:type="paragraph" w:customStyle="1" w:styleId="20">
    <w:name w:val="p15"/>
    <w:basedOn w:val="1"/>
    <w:qFormat/>
    <w:uiPriority w:val="0"/>
    <w:pPr>
      <w:widowControl/>
      <w:spacing w:before="100" w:line="400" w:lineRule="atLeast"/>
    </w:pPr>
    <w:rPr>
      <w:rFonts w:ascii="Times New Roman" w:hAnsi="Times New Roman"/>
      <w:kern w:val="0"/>
      <w:sz w:val="28"/>
      <w:szCs w:val="28"/>
    </w:rPr>
  </w:style>
  <w:style w:type="paragraph" w:customStyle="1" w:styleId="21">
    <w:name w:val="p0"/>
    <w:basedOn w:val="1"/>
    <w:qFormat/>
    <w:uiPriority w:val="0"/>
    <w:pPr>
      <w:widowControl/>
    </w:pPr>
    <w:rPr>
      <w:rFonts w:ascii="Times New Roman" w:hAnsi="Times New Roman"/>
      <w:kern w:val="0"/>
      <w:szCs w:val="21"/>
    </w:rPr>
  </w:style>
  <w:style w:type="paragraph" w:customStyle="1" w:styleId="22">
    <w:name w:val="Default"/>
    <w:basedOn w:val="1"/>
    <w:qFormat/>
    <w:uiPriority w:val="0"/>
    <w:pPr>
      <w:autoSpaceDE w:val="0"/>
      <w:autoSpaceDN w:val="0"/>
      <w:adjustRightInd w:val="0"/>
      <w:jc w:val="left"/>
    </w:pPr>
    <w:rPr>
      <w:rFonts w:hint="eastAsia" w:ascii="楷体_GB2312" w:hAnsi="Times New Roman"/>
      <w:color w:val="000000"/>
      <w:kern w:val="0"/>
      <w:sz w:val="24"/>
    </w:rPr>
  </w:style>
  <w:style w:type="paragraph" w:customStyle="1" w:styleId="23">
    <w:name w:val="Heading6"/>
    <w:basedOn w:val="1"/>
    <w:next w:val="1"/>
    <w:qFormat/>
    <w:uiPriority w:val="0"/>
    <w:pPr>
      <w:keepNext/>
      <w:keepLines/>
      <w:spacing w:before="240" w:after="64" w:line="316" w:lineRule="auto"/>
    </w:pPr>
    <w:rPr>
      <w:rFonts w:ascii="Arial" w:hAnsi="Arial" w:eastAsia="黑体"/>
      <w:sz w:val="24"/>
    </w:rPr>
  </w:style>
  <w:style w:type="paragraph" w:customStyle="1" w:styleId="24">
    <w:name w:val="Revision"/>
    <w:hidden/>
    <w:unhideWhenUsed/>
    <w:uiPriority w:val="99"/>
    <w:rPr>
      <w:rFonts w:ascii="Calibri" w:hAnsi="Calibri" w:eastAsia="宋体" w:cs="Times New Roman"/>
      <w:kern w:val="2"/>
      <w:sz w:val="21"/>
      <w:szCs w:val="24"/>
      <w:lang w:val="en-US" w:eastAsia="zh-CN" w:bidi="ar-SA"/>
    </w:rPr>
  </w:style>
  <w:style w:type="character" w:customStyle="1" w:styleId="25">
    <w:name w:val="Unresolved Mention"/>
    <w:basedOn w:val="1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17993</Words>
  <Characters>19001</Characters>
  <Lines>772</Lines>
  <Paragraphs>832</Paragraphs>
  <TotalTime>4</TotalTime>
  <ScaleCrop>false</ScaleCrop>
  <LinksUpToDate>false</LinksUpToDate>
  <CharactersWithSpaces>19810</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2026-07-08T08:32:00Z</dcterms:created>
  <dc:creator>Administrator</dc:creator>
  <cp:lastModifiedBy>Doris</cp:lastModifiedBy>
  <dcterms:modified xsi:type="dcterms:W3CDTF">2026-07-13T08:54:15Z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KSOTemplateDocerSaveRecord">
    <vt:lpwstr>eyJoZGlkIjoiNTUyMTFkZDc3YzZlYmNlYmUxMWUyYjZkMzBlZjExNGIiLCJ1c2VySWQiOiI2ODM4MTg5ODEifQ==</vt:lpwstr>
  </property>
  <property fmtid="{D5CDD505-2E9C-101B-9397-08002B2CF9AE}" pid="4" name="ICV">
    <vt:lpwstr>A4709956C47F4465AA8E66632E425EF8_12</vt:lpwstr>
  </property>
</Properties>
</file>